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0015" w14:textId="77777777" w:rsidR="000235D3" w:rsidRPr="000235D3" w:rsidRDefault="000235D3" w:rsidP="000235D3">
      <w:pPr>
        <w:spacing w:line="540" w:lineRule="exact"/>
        <w:jc w:val="center"/>
        <w:rPr>
          <w:rFonts w:ascii="方正小标宋简体" w:eastAsia="方正小标宋简体" w:hint="eastAsia"/>
          <w:sz w:val="36"/>
          <w:szCs w:val="36"/>
        </w:rPr>
      </w:pPr>
      <w:r w:rsidRPr="000235D3">
        <w:rPr>
          <w:rFonts w:ascii="方正小标宋简体" w:eastAsia="方正小标宋简体" w:hint="eastAsia"/>
          <w:sz w:val="36"/>
          <w:szCs w:val="36"/>
        </w:rPr>
        <w:t>教育部关于印发《普通高等学校本科教育教学</w:t>
      </w:r>
      <w:r w:rsidRPr="000235D3">
        <w:rPr>
          <w:rFonts w:ascii="方正小标宋简体" w:eastAsia="方正小标宋简体" w:hint="eastAsia"/>
          <w:sz w:val="36"/>
          <w:szCs w:val="36"/>
        </w:rPr>
        <w:br/>
        <w:t>审核评估实施方案（2021—2025年）》的通知</w:t>
      </w:r>
    </w:p>
    <w:p w14:paraId="23B0FE0C" w14:textId="77777777" w:rsidR="000235D3" w:rsidRPr="000235D3" w:rsidRDefault="000235D3" w:rsidP="000235D3">
      <w:pPr>
        <w:spacing w:line="540" w:lineRule="exact"/>
        <w:jc w:val="right"/>
        <w:rPr>
          <w:rFonts w:ascii="仿宋_GB2312" w:eastAsia="仿宋_GB2312" w:hint="eastAsia"/>
          <w:sz w:val="30"/>
          <w:szCs w:val="30"/>
        </w:rPr>
      </w:pPr>
      <w:r w:rsidRPr="000235D3">
        <w:rPr>
          <w:rFonts w:ascii="仿宋_GB2312" w:eastAsia="仿宋_GB2312" w:hint="eastAsia"/>
          <w:sz w:val="30"/>
          <w:szCs w:val="30"/>
        </w:rPr>
        <w:t>教督〔2021〕1号</w:t>
      </w:r>
    </w:p>
    <w:p w14:paraId="580ED2B9"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各省、自治区、直辖市教育厅（教委），新疆生产建设兵团教育局，有关部门（单位）教育司（局），部属各高等学校、部省合建各高等学校：</w:t>
      </w:r>
    </w:p>
    <w:p w14:paraId="4BB6DE2B"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14:paraId="41760517"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教育部</w:t>
      </w:r>
    </w:p>
    <w:p w14:paraId="67AE2BA7"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2021年1月21日</w:t>
      </w:r>
    </w:p>
    <w:p w14:paraId="1FCD9FE1"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b/>
          <w:bCs/>
          <w:sz w:val="30"/>
          <w:szCs w:val="30"/>
        </w:rPr>
        <w:t>普通高等学校本科教育教学审核评估实施方案（2021—2025年）</w:t>
      </w:r>
    </w:p>
    <w:p w14:paraId="2E7B3808"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14:paraId="482154B6"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w:t>
      </w:r>
      <w:r w:rsidRPr="000235D3">
        <w:rPr>
          <w:rFonts w:ascii="仿宋_GB2312" w:eastAsia="仿宋_GB2312" w:hint="eastAsia"/>
          <w:b/>
          <w:bCs/>
          <w:sz w:val="30"/>
          <w:szCs w:val="30"/>
        </w:rPr>
        <w:t>一、指导思想</w:t>
      </w:r>
    </w:p>
    <w:p w14:paraId="41BBA0BC"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以习近平新时代中国特色社会主义思想为指导，全面贯彻落实党的教育方针，坚持教育为人民服务、为中国共产党治国理政服务、为巩固和发展中国特色社会主义制度服务、为改革开放和</w:t>
      </w:r>
      <w:r w:rsidRPr="000235D3">
        <w:rPr>
          <w:rFonts w:ascii="仿宋_GB2312" w:eastAsia="仿宋_GB2312" w:hint="eastAsia"/>
          <w:sz w:val="30"/>
          <w:szCs w:val="30"/>
        </w:rPr>
        <w:lastRenderedPageBreak/>
        <w:t>社会主义现代化建设服务。全面落实立德树人根本任务，坚决破除“五唯”顽</w:t>
      </w:r>
      <w:proofErr w:type="gramStart"/>
      <w:r w:rsidRPr="000235D3">
        <w:rPr>
          <w:rFonts w:ascii="仿宋_GB2312" w:eastAsia="仿宋_GB2312" w:hint="eastAsia"/>
          <w:sz w:val="30"/>
          <w:szCs w:val="30"/>
        </w:rPr>
        <w:t>瘴</w:t>
      </w:r>
      <w:proofErr w:type="gramEnd"/>
      <w:r w:rsidRPr="000235D3">
        <w:rPr>
          <w:rFonts w:ascii="仿宋_GB2312" w:eastAsia="仿宋_GB2312" w:hint="eastAsia"/>
          <w:sz w:val="30"/>
          <w:szCs w:val="30"/>
        </w:rPr>
        <w:t>痼疾，扭转不科学教育评价导向，确保人才培养中心地位和本科教育教学核心地位。推进评估分类，</w:t>
      </w:r>
      <w:proofErr w:type="gramStart"/>
      <w:r w:rsidRPr="000235D3">
        <w:rPr>
          <w:rFonts w:ascii="仿宋_GB2312" w:eastAsia="仿宋_GB2312" w:hint="eastAsia"/>
          <w:sz w:val="30"/>
          <w:szCs w:val="30"/>
        </w:rPr>
        <w:t>以评促建</w:t>
      </w:r>
      <w:proofErr w:type="gramEnd"/>
      <w:r w:rsidRPr="000235D3">
        <w:rPr>
          <w:rFonts w:ascii="仿宋_GB2312" w:eastAsia="仿宋_GB2312" w:hint="eastAsia"/>
          <w:sz w:val="30"/>
          <w:szCs w:val="30"/>
        </w:rPr>
        <w:t>、以评促改、</w:t>
      </w:r>
      <w:proofErr w:type="gramStart"/>
      <w:r w:rsidRPr="000235D3">
        <w:rPr>
          <w:rFonts w:ascii="仿宋_GB2312" w:eastAsia="仿宋_GB2312" w:hint="eastAsia"/>
          <w:sz w:val="30"/>
          <w:szCs w:val="30"/>
        </w:rPr>
        <w:t>以评促管</w:t>
      </w:r>
      <w:proofErr w:type="gramEnd"/>
      <w:r w:rsidRPr="000235D3">
        <w:rPr>
          <w:rFonts w:ascii="仿宋_GB2312" w:eastAsia="仿宋_GB2312" w:hint="eastAsia"/>
          <w:sz w:val="30"/>
          <w:szCs w:val="30"/>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14:paraId="5612253C"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w:t>
      </w:r>
      <w:r w:rsidRPr="000235D3">
        <w:rPr>
          <w:rFonts w:ascii="仿宋_GB2312" w:eastAsia="仿宋_GB2312" w:hint="eastAsia"/>
          <w:b/>
          <w:bCs/>
          <w:sz w:val="30"/>
          <w:szCs w:val="30"/>
        </w:rPr>
        <w:t>二、基本原则</w:t>
      </w:r>
    </w:p>
    <w:p w14:paraId="112B5FF1"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（一）坚持立德树人。把牢社会主义办学方向，构建以立德</w:t>
      </w:r>
      <w:proofErr w:type="gramStart"/>
      <w:r w:rsidRPr="000235D3">
        <w:rPr>
          <w:rFonts w:ascii="仿宋_GB2312" w:eastAsia="仿宋_GB2312" w:hint="eastAsia"/>
          <w:sz w:val="30"/>
          <w:szCs w:val="30"/>
        </w:rPr>
        <w:t>树人成效</w:t>
      </w:r>
      <w:proofErr w:type="gramEnd"/>
      <w:r w:rsidRPr="000235D3">
        <w:rPr>
          <w:rFonts w:ascii="仿宋_GB2312" w:eastAsia="仿宋_GB2312" w:hint="eastAsia"/>
          <w:sz w:val="30"/>
          <w:szCs w:val="30"/>
        </w:rPr>
        <w:t>为根本标准的评估体系，加强对学校办学方向、育人过程、学生发展、质量保障体系等方面的审核，引导高校构建“三全育人”格局。</w:t>
      </w:r>
    </w:p>
    <w:p w14:paraId="480C5EAB"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二）坚持推进改革。紧扣本科教育教学改革主线，落实“以本为本”“四个回归”，强化学生中心、产出导向、持续改进，以评估理念引领改革、以评估举措落实改革、以评估标准检验改革，实现高质量内涵式发展。</w:t>
      </w:r>
    </w:p>
    <w:p w14:paraId="1D988FDA"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（三）坚持分类指导。适应高等教育多样化发展需求，依据不同层次不同类型高校办学定位、培养目标、教育教学水平和质量保障体系建设情况，实施分类评价、精准评价，引导和激励高校各展所长、特色发展。</w:t>
      </w:r>
    </w:p>
    <w:p w14:paraId="00D36DD9"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（四）坚持问题导向。建立“问题清单”，严把高校正确办学方向，落实本科人才培养底线要求，提出改进发展意见，强化评估结果使用和督导复查，推动高校落实主体责任、建立持续改进长效机制，培育</w:t>
      </w:r>
      <w:proofErr w:type="gramStart"/>
      <w:r w:rsidRPr="000235D3">
        <w:rPr>
          <w:rFonts w:ascii="仿宋_GB2312" w:eastAsia="仿宋_GB2312" w:hint="eastAsia"/>
          <w:sz w:val="30"/>
          <w:szCs w:val="30"/>
        </w:rPr>
        <w:t>践行</w:t>
      </w:r>
      <w:proofErr w:type="gramEnd"/>
      <w:r w:rsidRPr="000235D3">
        <w:rPr>
          <w:rFonts w:ascii="仿宋_GB2312" w:eastAsia="仿宋_GB2312" w:hint="eastAsia"/>
          <w:sz w:val="30"/>
          <w:szCs w:val="30"/>
        </w:rPr>
        <w:t>高校质量文化。</w:t>
      </w:r>
    </w:p>
    <w:p w14:paraId="4A29D488"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（五）坚持方法创新。综合运用互联网、大数据、人工智能</w:t>
      </w:r>
      <w:r w:rsidRPr="000235D3">
        <w:rPr>
          <w:rFonts w:ascii="仿宋_GB2312" w:eastAsia="仿宋_GB2312" w:hint="eastAsia"/>
          <w:sz w:val="30"/>
          <w:szCs w:val="30"/>
        </w:rPr>
        <w:lastRenderedPageBreak/>
        <w:t>等现代信息技术手段，深度挖掘常态监测数据，采取线上与入校结合、定性与定量结合、明察与暗访结合等方式，切实减轻高校负担，提高工作实效。</w:t>
      </w:r>
    </w:p>
    <w:p w14:paraId="41CB2FD0"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w:t>
      </w:r>
      <w:r w:rsidRPr="000235D3">
        <w:rPr>
          <w:rFonts w:ascii="仿宋_GB2312" w:eastAsia="仿宋_GB2312" w:hint="eastAsia"/>
          <w:b/>
          <w:bCs/>
          <w:sz w:val="30"/>
          <w:szCs w:val="30"/>
        </w:rPr>
        <w:t>三、评估对象、周期及分类</w:t>
      </w:r>
    </w:p>
    <w:p w14:paraId="2AF60BAA"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一）评估对象和周期。经国家正式批准独立设置的普通本科高校均应参加审核评估，其中：新建普通本科高校应先参加普通高等学校本科教学工作合格评估，原则上获得“通过”结论5年后方可参加本轮审核评估。</w:t>
      </w:r>
    </w:p>
    <w:p w14:paraId="3C2A4F13"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审核评估每5年一个周期，本轮审核评估时间为2021—2025年。</w:t>
      </w:r>
    </w:p>
    <w:p w14:paraId="3E286F55"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14:paraId="3043EB25"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38A0A70F"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w:t>
      </w:r>
      <w:r w:rsidRPr="000235D3">
        <w:rPr>
          <w:rFonts w:ascii="仿宋_GB2312" w:eastAsia="仿宋_GB2312" w:hint="eastAsia"/>
          <w:sz w:val="30"/>
          <w:szCs w:val="30"/>
        </w:rPr>
        <w:lastRenderedPageBreak/>
        <w:t>展、教学成效等。</w:t>
      </w:r>
    </w:p>
    <w:p w14:paraId="0635C245"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w:t>
      </w:r>
      <w:r w:rsidRPr="000235D3">
        <w:rPr>
          <w:rFonts w:ascii="仿宋_GB2312" w:eastAsia="仿宋_GB2312" w:hint="eastAsia"/>
          <w:b/>
          <w:bCs/>
          <w:sz w:val="30"/>
          <w:szCs w:val="30"/>
        </w:rPr>
        <w:t>四、评估程序</w:t>
      </w:r>
    </w:p>
    <w:p w14:paraId="576A800C"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审核评估程序包括评估申请、学校自评、专家评审、反馈结论、限期整改、督导复查。</w:t>
      </w:r>
    </w:p>
    <w:p w14:paraId="2BBF21EE"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14:paraId="5E856B92"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教育部普通高等学校本科教育教学评估专家委员会（以下简称教育部评估专家委员会）审议第一类审核评估参评高校。</w:t>
      </w:r>
    </w:p>
    <w:p w14:paraId="3F7C9E26"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2ACBF70A"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sidRPr="000235D3">
        <w:rPr>
          <w:rFonts w:ascii="仿宋_GB2312" w:eastAsia="仿宋_GB2312" w:hint="eastAsia"/>
          <w:sz w:val="30"/>
          <w:szCs w:val="30"/>
        </w:rPr>
        <w:t>考察线</w:t>
      </w:r>
      <w:proofErr w:type="gramEnd"/>
      <w:r w:rsidRPr="000235D3">
        <w:rPr>
          <w:rFonts w:ascii="仿宋_GB2312" w:eastAsia="仿宋_GB2312" w:hint="eastAsia"/>
          <w:sz w:val="30"/>
          <w:szCs w:val="30"/>
        </w:rPr>
        <w:t>上评估提出的存疑问题。</w:t>
      </w:r>
      <w:proofErr w:type="gramStart"/>
      <w:r w:rsidRPr="000235D3">
        <w:rPr>
          <w:rFonts w:ascii="仿宋_GB2312" w:eastAsia="仿宋_GB2312" w:hint="eastAsia"/>
          <w:sz w:val="30"/>
          <w:szCs w:val="30"/>
        </w:rPr>
        <w:t>综合线</w:t>
      </w:r>
      <w:proofErr w:type="gramEnd"/>
      <w:r w:rsidRPr="000235D3">
        <w:rPr>
          <w:rFonts w:ascii="仿宋_GB2312" w:eastAsia="仿宋_GB2312" w:hint="eastAsia"/>
          <w:sz w:val="30"/>
          <w:szCs w:val="30"/>
        </w:rPr>
        <w:t>上评估和入校评估总体情况，制订问题清单，形成写实性《审核评估报告》。</w:t>
      </w:r>
    </w:p>
    <w:p w14:paraId="6DD10F4D"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通过教育部认证（评估）并在有效期内的专业（课程），免于</w:t>
      </w:r>
      <w:r w:rsidRPr="000235D3">
        <w:rPr>
          <w:rFonts w:ascii="仿宋_GB2312" w:eastAsia="仿宋_GB2312" w:hint="eastAsia"/>
          <w:sz w:val="30"/>
          <w:szCs w:val="30"/>
        </w:rPr>
        <w:lastRenderedPageBreak/>
        <w:t>评估考察，切实减轻高校负担。</w:t>
      </w:r>
    </w:p>
    <w:p w14:paraId="0844E08E"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55676A7F"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7B6D6BD7"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2FCF11EA"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w:t>
      </w:r>
      <w:r w:rsidRPr="000235D3">
        <w:rPr>
          <w:rFonts w:ascii="仿宋_GB2312" w:eastAsia="仿宋_GB2312" w:hint="eastAsia"/>
          <w:b/>
          <w:bCs/>
          <w:sz w:val="30"/>
          <w:szCs w:val="30"/>
        </w:rPr>
        <w:t>五、组织管理</w:t>
      </w:r>
    </w:p>
    <w:p w14:paraId="35EF0CC2"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0235D3">
        <w:rPr>
          <w:rFonts w:ascii="仿宋_GB2312" w:eastAsia="仿宋_GB2312" w:hint="eastAsia"/>
          <w:sz w:val="30"/>
          <w:szCs w:val="30"/>
        </w:rPr>
        <w:t>高校第</w:t>
      </w:r>
      <w:proofErr w:type="gramEnd"/>
      <w:r w:rsidRPr="000235D3">
        <w:rPr>
          <w:rFonts w:ascii="仿宋_GB2312" w:eastAsia="仿宋_GB2312" w:hint="eastAsia"/>
          <w:sz w:val="30"/>
          <w:szCs w:val="30"/>
        </w:rPr>
        <w:t>一类审核评估工作。</w:t>
      </w:r>
    </w:p>
    <w:p w14:paraId="2EC944A5"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省级教育行政部门依据国家有关规定和要求，结合实际，负责制订本地区审核评估实施方案、总体规划，报教育部备案。组</w:t>
      </w:r>
      <w:r w:rsidRPr="000235D3">
        <w:rPr>
          <w:rFonts w:ascii="仿宋_GB2312" w:eastAsia="仿宋_GB2312" w:hint="eastAsia"/>
          <w:sz w:val="30"/>
          <w:szCs w:val="30"/>
        </w:rPr>
        <w:lastRenderedPageBreak/>
        <w:t>织所属高校第二类审核评估及推荐高校参加第一类审核评估工作。选取1—2所高校委托教育部评估中心指导开展第二类审核评估试点，为全面推开本地区审核评估工作做好示范。</w:t>
      </w:r>
    </w:p>
    <w:p w14:paraId="7A5B436E"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教育部评估中心制订专家管理办法，建设全国统一、开放共享的专家库，建立专家组织推荐、专业培训、持证入库、随机遴选、异地选派及淘汰退出机制。</w:t>
      </w:r>
    </w:p>
    <w:p w14:paraId="1A36DCD5"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审核评估经费由有关具体组织部门负责落实。</w:t>
      </w:r>
    </w:p>
    <w:p w14:paraId="45C2933F"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w:t>
      </w:r>
      <w:r w:rsidRPr="000235D3">
        <w:rPr>
          <w:rFonts w:ascii="仿宋_GB2312" w:eastAsia="仿宋_GB2312" w:hint="eastAsia"/>
          <w:b/>
          <w:bCs/>
          <w:sz w:val="30"/>
          <w:szCs w:val="30"/>
        </w:rPr>
        <w:t>六、纪律与监督</w:t>
      </w:r>
    </w:p>
    <w:p w14:paraId="5497B6BF" w14:textId="77777777" w:rsidR="000235D3" w:rsidRPr="000235D3" w:rsidRDefault="000235D3" w:rsidP="000235D3">
      <w:pPr>
        <w:spacing w:line="540" w:lineRule="exact"/>
        <w:rPr>
          <w:rFonts w:ascii="仿宋_GB2312" w:eastAsia="仿宋_GB2312" w:hint="eastAsia"/>
          <w:sz w:val="30"/>
          <w:szCs w:val="30"/>
        </w:rPr>
      </w:pPr>
      <w:r w:rsidRPr="000235D3">
        <w:rPr>
          <w:rFonts w:ascii="仿宋_GB2312" w:eastAsia="仿宋_GB2312" w:hint="eastAsia"/>
          <w:sz w:val="30"/>
          <w:szCs w:val="30"/>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14:paraId="08D444EC" w14:textId="77777777" w:rsidR="002B44B1" w:rsidRPr="000235D3" w:rsidRDefault="002B44B1" w:rsidP="000235D3">
      <w:pPr>
        <w:spacing w:line="540" w:lineRule="exact"/>
        <w:rPr>
          <w:rFonts w:ascii="仿宋_GB2312" w:eastAsia="仿宋_GB2312" w:hint="eastAsia"/>
          <w:sz w:val="30"/>
          <w:szCs w:val="30"/>
        </w:rPr>
      </w:pPr>
    </w:p>
    <w:sectPr w:rsidR="002B44B1" w:rsidRPr="00023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E4"/>
    <w:rsid w:val="000235D3"/>
    <w:rsid w:val="002B44B1"/>
    <w:rsid w:val="0064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A9B00-CC94-4635-9866-E4182694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64453">
      <w:bodyDiv w:val="1"/>
      <w:marLeft w:val="0"/>
      <w:marRight w:val="0"/>
      <w:marTop w:val="0"/>
      <w:marBottom w:val="0"/>
      <w:divBdr>
        <w:top w:val="none" w:sz="0" w:space="0" w:color="auto"/>
        <w:left w:val="none" w:sz="0" w:space="0" w:color="auto"/>
        <w:bottom w:val="none" w:sz="0" w:space="0" w:color="auto"/>
        <w:right w:val="none" w:sz="0" w:space="0" w:color="auto"/>
      </w:divBdr>
      <w:divsChild>
        <w:div w:id="17565204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xiaoxi</dc:creator>
  <cp:keywords/>
  <dc:description/>
  <cp:lastModifiedBy>sun xiaoxi</cp:lastModifiedBy>
  <cp:revision>2</cp:revision>
  <dcterms:created xsi:type="dcterms:W3CDTF">2021-07-02T11:46:00Z</dcterms:created>
  <dcterms:modified xsi:type="dcterms:W3CDTF">2021-07-02T11:46:00Z</dcterms:modified>
</cp:coreProperties>
</file>