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8A" w:rsidRPr="009C0C66" w:rsidRDefault="008E12E0" w:rsidP="003E058A">
      <w:pPr>
        <w:widowControl/>
        <w:spacing w:line="54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32"/>
          <w:szCs w:val="32"/>
        </w:rPr>
      </w:pPr>
      <w:r w:rsidRPr="009C0C66"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厦门大学与三明学院支援协作补充协议书任务</w:t>
      </w:r>
      <w:r w:rsidR="009C0C66" w:rsidRPr="009C0C66"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进度表</w:t>
      </w:r>
    </w:p>
    <w:p w:rsidR="00CF5B74" w:rsidRPr="003E058A" w:rsidRDefault="009C0C66" w:rsidP="009C0C66">
      <w:pPr>
        <w:widowControl/>
        <w:spacing w:line="540" w:lineRule="exact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3E058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填报单位:                                                            </w:t>
      </w:r>
      <w:r w:rsidR="003E058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             </w:t>
      </w:r>
      <w:r w:rsidRPr="003E058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填报时间:</w:t>
      </w:r>
    </w:p>
    <w:tbl>
      <w:tblPr>
        <w:tblStyle w:val="a"/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2832"/>
        <w:gridCol w:w="5245"/>
        <w:gridCol w:w="3002"/>
        <w:gridCol w:w="1279"/>
        <w:gridCol w:w="1278"/>
      </w:tblGrid>
      <w:tr w:rsidR="009C0C66" w:rsidRPr="008E12E0" w:rsidTr="006F49C1">
        <w:trPr>
          <w:trHeight w:val="753"/>
        </w:trPr>
        <w:tc>
          <w:tcPr>
            <w:tcW w:w="1245" w:type="dxa"/>
            <w:shd w:val="clear" w:color="auto" w:fill="auto"/>
            <w:vAlign w:val="center"/>
            <w:hideMark/>
          </w:tcPr>
          <w:p w:rsidR="009C0C66" w:rsidRPr="008E12E0" w:rsidRDefault="009C0C66" w:rsidP="009C0C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主要任务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9C0C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具体任务</w:t>
            </w:r>
          </w:p>
        </w:tc>
        <w:tc>
          <w:tcPr>
            <w:tcW w:w="5245" w:type="dxa"/>
            <w:vAlign w:val="center"/>
          </w:tcPr>
          <w:p w:rsidR="009C0C66" w:rsidRDefault="003E058A" w:rsidP="003E058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进度情况</w:t>
            </w:r>
          </w:p>
        </w:tc>
        <w:tc>
          <w:tcPr>
            <w:tcW w:w="3002" w:type="dxa"/>
            <w:vAlign w:val="center"/>
          </w:tcPr>
          <w:p w:rsidR="009C0C66" w:rsidRDefault="003E058A" w:rsidP="003E058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Default="009C0C66" w:rsidP="009C0C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三明学院</w:t>
            </w:r>
          </w:p>
          <w:p w:rsidR="009C0C66" w:rsidRPr="008E12E0" w:rsidRDefault="009C0C66" w:rsidP="009C0C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Default="009C0C66" w:rsidP="009C0C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厦门大学</w:t>
            </w:r>
          </w:p>
          <w:p w:rsidR="009C0C66" w:rsidRPr="008E12E0" w:rsidRDefault="009C0C66" w:rsidP="009C0C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对接单位</w:t>
            </w:r>
          </w:p>
        </w:tc>
      </w:tr>
      <w:tr w:rsidR="009C0C66" w:rsidRPr="008E12E0" w:rsidTr="006F49C1">
        <w:trPr>
          <w:trHeight w:val="1968"/>
        </w:trPr>
        <w:tc>
          <w:tcPr>
            <w:tcW w:w="1245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一、硕士学位授权单位创建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3E058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1.积极支持三明学院申报硕士学位授权单位，重点支持三明学院机械、材料与化工、旅游管理和艺术等优势学科建设，助推硕士学位授权点建设。</w:t>
            </w:r>
          </w:p>
        </w:tc>
        <w:tc>
          <w:tcPr>
            <w:tcW w:w="5245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9C0C66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学科办</w:t>
            </w:r>
          </w:p>
          <w:p w:rsidR="009C0C66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资化学院</w:t>
            </w:r>
          </w:p>
          <w:p w:rsidR="009C0C66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  <w:p w:rsidR="009C0C66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  <w:p w:rsidR="009C0C66" w:rsidRPr="008E12E0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艺设学院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Default="009C0C66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  <w:p w:rsidR="00EF4285" w:rsidRPr="00EF4285" w:rsidRDefault="00EF4285" w:rsidP="00EF4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F4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  <w:p w:rsidR="00EF4285" w:rsidRPr="00EF4285" w:rsidRDefault="00EF4285" w:rsidP="00EF4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F4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航空航天学院</w:t>
            </w:r>
          </w:p>
          <w:p w:rsidR="00EF4285" w:rsidRPr="00EF4285" w:rsidRDefault="00EF4285" w:rsidP="00EF4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F4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  <w:p w:rsidR="009C0C66" w:rsidRPr="007A63B1" w:rsidRDefault="00EF4285" w:rsidP="00EF4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F4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9C0C66" w:rsidRPr="008E12E0" w:rsidTr="006F49C1">
        <w:trPr>
          <w:trHeight w:val="1960"/>
        </w:trPr>
        <w:tc>
          <w:tcPr>
            <w:tcW w:w="1245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二、硕士研究生联合培养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2337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2.将三明学院列为硕士研究生联合培养学校；三明学院每年遴选5</w:t>
            </w:r>
            <w:r w:rsidR="006F49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名符合厦大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硕士生导师条件的教师参与</w:t>
            </w:r>
            <w:r w:rsidR="006F49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厦大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硕士研究生培养。</w:t>
            </w:r>
          </w:p>
        </w:tc>
        <w:tc>
          <w:tcPr>
            <w:tcW w:w="5245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Pr="008E12E0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学科办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Pr="007A63B1" w:rsidRDefault="009C0C66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</w:tr>
      <w:tr w:rsidR="009C0C66" w:rsidRPr="008E12E0" w:rsidTr="006F49C1">
        <w:trPr>
          <w:trHeight w:val="1712"/>
        </w:trPr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三、科研合作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3.鼓励博士后科研流动站与三明学院共同开展科研合作，鼓励在站博士后到三明学院相关实验室从事科学研究工作。</w:t>
            </w:r>
          </w:p>
        </w:tc>
        <w:tc>
          <w:tcPr>
            <w:tcW w:w="5245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  <w:p w:rsidR="009C0C66" w:rsidRPr="008E12E0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  <w:p w:rsidR="009C0C66" w:rsidRPr="007A63B1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9C0C66" w:rsidRPr="008E12E0" w:rsidTr="006F49C1">
        <w:trPr>
          <w:trHeight w:val="1368"/>
        </w:trPr>
        <w:tc>
          <w:tcPr>
            <w:tcW w:w="1245" w:type="dxa"/>
            <w:vMerge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4.支持三明学院建设氟化工产业技术研究院、闽光学院、美丽中国发展研究院等</w:t>
            </w:r>
            <w:r w:rsidR="002049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7个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科研平台。</w:t>
            </w:r>
          </w:p>
        </w:tc>
        <w:tc>
          <w:tcPr>
            <w:tcW w:w="5245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Pr="008E12E0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  <w:p w:rsidR="009C0C66" w:rsidRPr="007A63B1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社科处</w:t>
            </w:r>
          </w:p>
        </w:tc>
      </w:tr>
      <w:tr w:rsidR="009C0C66" w:rsidRPr="008E12E0" w:rsidTr="0058797E">
        <w:trPr>
          <w:trHeight w:val="2538"/>
        </w:trPr>
        <w:tc>
          <w:tcPr>
            <w:tcW w:w="1245" w:type="dxa"/>
            <w:vMerge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6F49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5.支持三明学院教师申报国家自然科学基金、国家社科基金重点项目、福建省科技重大专项等；支持三明学院教师参与</w:t>
            </w:r>
            <w:r w:rsidR="006F49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厦大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国家级和省级重大科研项目、课题的申报与研究。</w:t>
            </w:r>
          </w:p>
        </w:tc>
        <w:tc>
          <w:tcPr>
            <w:tcW w:w="5245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Pr="008E12E0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  <w:p w:rsidR="009C0C66" w:rsidRPr="007A63B1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社科处</w:t>
            </w:r>
          </w:p>
        </w:tc>
      </w:tr>
      <w:tr w:rsidR="009C0C66" w:rsidRPr="008E12E0" w:rsidTr="0058797E">
        <w:trPr>
          <w:trHeight w:val="1553"/>
        </w:trPr>
        <w:tc>
          <w:tcPr>
            <w:tcW w:w="1245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四、师资队伍培养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6F49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6.三明学院每年选派3-5</w:t>
            </w:r>
            <w:r w:rsidR="006F49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名干部到厦大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相关部门跟班学习；每年遴选5名教师到</w:t>
            </w:r>
            <w:r w:rsidR="006F49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厦大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短期访学、进修。</w:t>
            </w:r>
          </w:p>
        </w:tc>
        <w:tc>
          <w:tcPr>
            <w:tcW w:w="5245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Pr="008E12E0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9C0C66" w:rsidRPr="008E12E0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9C0C66" w:rsidRPr="007A63B1" w:rsidRDefault="009C0C66" w:rsidP="00CF5B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9C0C66" w:rsidRPr="008E12E0" w:rsidTr="0058797E">
        <w:trPr>
          <w:trHeight w:val="1934"/>
        </w:trPr>
        <w:tc>
          <w:tcPr>
            <w:tcW w:w="1245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五、孔子学院建设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7.支持三明学院申办孔子学院项目，</w:t>
            </w:r>
            <w:r w:rsidR="005879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指导三明学院孔子学院项目的申报、落地及运营，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支持三明</w:t>
            </w:r>
            <w:r w:rsidR="000A6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拓宽国际办学渠道，提升国际化办学水平。</w:t>
            </w:r>
          </w:p>
        </w:tc>
        <w:tc>
          <w:tcPr>
            <w:tcW w:w="5245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9C0C66" w:rsidRPr="008E12E0" w:rsidRDefault="00EF4285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</w:t>
            </w:r>
            <w:r w:rsidR="009C0C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Pr="007A63B1" w:rsidRDefault="009C0C66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孔子学院办公室</w:t>
            </w:r>
          </w:p>
        </w:tc>
      </w:tr>
      <w:tr w:rsidR="009C0C66" w:rsidRPr="008E12E0" w:rsidTr="0058797E">
        <w:trPr>
          <w:trHeight w:val="1589"/>
        </w:trPr>
        <w:tc>
          <w:tcPr>
            <w:tcW w:w="1245" w:type="dxa"/>
            <w:shd w:val="clear" w:color="auto" w:fill="auto"/>
            <w:vAlign w:val="center"/>
            <w:hideMark/>
          </w:tcPr>
          <w:p w:rsidR="009C0C66" w:rsidRPr="008E12E0" w:rsidRDefault="009C0C66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六、地方研究院建设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9C0C66" w:rsidRPr="008E12E0" w:rsidRDefault="009C0C66" w:rsidP="008D33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8.三明学院积极提供场地、人员等条件支持</w:t>
            </w:r>
            <w:r w:rsidR="008D33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厦大</w:t>
            </w: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与三明市政府共同建设“厦门大学三明产教融合研究院”。</w:t>
            </w:r>
          </w:p>
        </w:tc>
        <w:tc>
          <w:tcPr>
            <w:tcW w:w="5245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C0C66" w:rsidRDefault="009C0C66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9C0C66" w:rsidRPr="008E12E0" w:rsidRDefault="009C0C66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C0C66" w:rsidRPr="007A63B1" w:rsidRDefault="009C0C66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发展规划办公室</w:t>
            </w:r>
          </w:p>
        </w:tc>
      </w:tr>
      <w:tr w:rsidR="006F49C1" w:rsidRPr="008E12E0" w:rsidTr="0058797E">
        <w:trPr>
          <w:trHeight w:val="1258"/>
        </w:trPr>
        <w:tc>
          <w:tcPr>
            <w:tcW w:w="1245" w:type="dxa"/>
            <w:shd w:val="clear" w:color="auto" w:fill="auto"/>
            <w:vAlign w:val="center"/>
            <w:hideMark/>
          </w:tcPr>
          <w:p w:rsidR="006F49C1" w:rsidRPr="008E12E0" w:rsidRDefault="008D3352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七、</w:t>
            </w:r>
            <w:r w:rsidR="000A6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专家顾问团咨询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6F49C1" w:rsidRPr="008E12E0" w:rsidRDefault="000A6552" w:rsidP="008E12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9.支撑并协助三明学院成立厦门大学三明籍专家顾问团，鼓励专家们为家乡集智献策。</w:t>
            </w:r>
          </w:p>
        </w:tc>
        <w:tc>
          <w:tcPr>
            <w:tcW w:w="5245" w:type="dxa"/>
            <w:vAlign w:val="center"/>
          </w:tcPr>
          <w:p w:rsidR="006F49C1" w:rsidRDefault="006F49C1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6F49C1" w:rsidRDefault="006F49C1" w:rsidP="003E058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6F49C1" w:rsidRPr="000A6552" w:rsidRDefault="000A6552" w:rsidP="008E5A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F49C1" w:rsidRPr="007A63B1" w:rsidRDefault="00E3615C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发展规划办公室</w:t>
            </w:r>
          </w:p>
        </w:tc>
      </w:tr>
    </w:tbl>
    <w:p w:rsidR="003371F6" w:rsidRPr="000A6552" w:rsidRDefault="003371F6" w:rsidP="003371F6">
      <w:pPr>
        <w:widowControl/>
        <w:jc w:val="center"/>
        <w:rPr>
          <w:rFonts w:ascii="方正小标宋简体" w:eastAsia="方正小标宋简体" w:hAnsi="黑体" w:cs="宋体"/>
          <w:b/>
          <w:color w:val="000000"/>
          <w:kern w:val="0"/>
          <w:sz w:val="32"/>
          <w:szCs w:val="32"/>
        </w:rPr>
      </w:pPr>
      <w:r w:rsidRPr="000A6552"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lastRenderedPageBreak/>
        <w:t>福建师范大学与三明学院改革发展协作框架协议书任务</w:t>
      </w:r>
      <w:r w:rsidR="000A6552"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进度表</w:t>
      </w:r>
    </w:p>
    <w:p w:rsidR="003371F6" w:rsidRPr="000A6552" w:rsidRDefault="000A6552" w:rsidP="000A6552">
      <w:pPr>
        <w:widowControl/>
        <w:spacing w:line="540" w:lineRule="exact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3E058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填报单位:                                                       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             </w:t>
      </w:r>
      <w:r w:rsidRPr="003E058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填报时间: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5245"/>
        <w:gridCol w:w="2977"/>
        <w:gridCol w:w="1276"/>
        <w:gridCol w:w="1275"/>
      </w:tblGrid>
      <w:tr w:rsidR="000A6552" w:rsidRPr="008E12E0" w:rsidTr="002D531C">
        <w:trPr>
          <w:trHeight w:val="1095"/>
        </w:trPr>
        <w:tc>
          <w:tcPr>
            <w:tcW w:w="1242" w:type="dxa"/>
            <w:shd w:val="clear" w:color="auto" w:fill="auto"/>
            <w:vAlign w:val="center"/>
            <w:hideMark/>
          </w:tcPr>
          <w:p w:rsidR="000A6552" w:rsidRPr="008E12E0" w:rsidRDefault="000A6552" w:rsidP="00E52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主要任务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0A6552" w:rsidP="00E52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具体任务</w:t>
            </w:r>
          </w:p>
        </w:tc>
        <w:tc>
          <w:tcPr>
            <w:tcW w:w="5245" w:type="dxa"/>
            <w:vAlign w:val="center"/>
          </w:tcPr>
          <w:p w:rsidR="000A6552" w:rsidRDefault="00E52671" w:rsidP="00E52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进度情况</w:t>
            </w:r>
          </w:p>
        </w:tc>
        <w:tc>
          <w:tcPr>
            <w:tcW w:w="2977" w:type="dxa"/>
            <w:vAlign w:val="center"/>
          </w:tcPr>
          <w:p w:rsidR="000A6552" w:rsidRDefault="00E52671" w:rsidP="00E52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Pr="008E12E0" w:rsidRDefault="000A6552" w:rsidP="00E52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三明学院</w:t>
            </w:r>
            <w:r w:rsidRPr="008E12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Pr="008E12E0" w:rsidRDefault="000A6552" w:rsidP="00E52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福建师范大学对接单位</w:t>
            </w:r>
          </w:p>
        </w:tc>
      </w:tr>
    </w:tbl>
    <w:tbl>
      <w:tblPr>
        <w:tblStyle w:val="a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5245"/>
        <w:gridCol w:w="2977"/>
        <w:gridCol w:w="1276"/>
        <w:gridCol w:w="1275"/>
      </w:tblGrid>
      <w:tr w:rsidR="000A6552" w:rsidRPr="008E12E0" w:rsidTr="002D531C">
        <w:trPr>
          <w:trHeight w:val="2412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学科建设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0A6552" w:rsidP="00AB63D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C48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1.全面支持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5C48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学科建设，重点支持艺术、教育、旅游和马克思主义理论等学科领域加快提升学术水平和创新能力，助力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5C48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实现硕士学位授权单位创建目标。</w:t>
            </w:r>
          </w:p>
        </w:tc>
        <w:tc>
          <w:tcPr>
            <w:tcW w:w="5245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学科办</w:t>
            </w:r>
          </w:p>
          <w:p w:rsidR="000A6552" w:rsidRDefault="000A6552" w:rsidP="00355E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艺设学院</w:t>
            </w:r>
          </w:p>
          <w:p w:rsidR="000A6552" w:rsidRDefault="000A6552" w:rsidP="00355E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教音学院</w:t>
            </w:r>
          </w:p>
          <w:p w:rsidR="000A6552" w:rsidRDefault="000A6552" w:rsidP="00355E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文传学院</w:t>
            </w:r>
          </w:p>
          <w:p w:rsidR="000A6552" w:rsidRDefault="000A6552" w:rsidP="00355E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  <w:p w:rsidR="000A6552" w:rsidRPr="008E12E0" w:rsidRDefault="000A6552" w:rsidP="00355E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马院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  <w:p w:rsidR="006D685A" w:rsidRPr="006D685A" w:rsidRDefault="006D685A" w:rsidP="006D68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8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  <w:p w:rsidR="006D685A" w:rsidRPr="006D685A" w:rsidRDefault="006D685A" w:rsidP="006D68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8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  <w:p w:rsidR="006D685A" w:rsidRPr="006D685A" w:rsidRDefault="006D685A" w:rsidP="006D68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8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  <w:p w:rsidR="006D685A" w:rsidRPr="006D685A" w:rsidRDefault="006D685A" w:rsidP="006D68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8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  <w:p w:rsidR="000A6552" w:rsidRPr="007A63B1" w:rsidRDefault="006D685A" w:rsidP="006D68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8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马院</w:t>
            </w:r>
          </w:p>
        </w:tc>
      </w:tr>
      <w:tr w:rsidR="000A6552" w:rsidRPr="008E12E0" w:rsidTr="002D531C">
        <w:trPr>
          <w:trHeight w:val="212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5C48FA" w:rsidRDefault="000A6552" w:rsidP="00AB63D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C48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2.依据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5C48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需求，推荐相关学科带头人或学术骨干作为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Pr="005C48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相关学科顾问，指导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5C48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开展相关学科的规划布局和建设发展。</w:t>
            </w:r>
          </w:p>
        </w:tc>
        <w:tc>
          <w:tcPr>
            <w:tcW w:w="5245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A6552" w:rsidRPr="007A63B1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552" w:rsidRPr="008E12E0" w:rsidTr="002D531C">
        <w:trPr>
          <w:trHeight w:val="2122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177DAA" w:rsidP="00AB63D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结合学科建设急需，推荐相关学科领域骨干教师，由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依据导师遴选标准，择优遴选为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相关学科的硕士、博士研究生导师。</w:t>
            </w:r>
          </w:p>
        </w:tc>
        <w:tc>
          <w:tcPr>
            <w:tcW w:w="5245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Pr="007A63B1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</w:tr>
      <w:tr w:rsidR="000A6552" w:rsidRPr="008E12E0" w:rsidTr="002D531C">
        <w:trPr>
          <w:trHeight w:val="2255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B0172" w:rsidRDefault="00177DAA" w:rsidP="00AB63D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.支持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每年选派若干名骨干教师来校开展访学进修；根据国家有关规定和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招收条件，支持</w:t>
            </w:r>
            <w:r w:rsidR="00AB63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相关学科领域教师进站从事博士后研究。</w:t>
            </w:r>
          </w:p>
        </w:tc>
        <w:tc>
          <w:tcPr>
            <w:tcW w:w="5245" w:type="dxa"/>
          </w:tcPr>
          <w:p w:rsidR="000A6552" w:rsidRPr="00177DAA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Pr="007A63B1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0A6552" w:rsidRPr="008E12E0" w:rsidTr="002D531C">
        <w:trPr>
          <w:trHeight w:val="3817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B0172" w:rsidRDefault="00177DAA" w:rsidP="00177D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.双方围绕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学科、师资、教学、科研等管理领域，建立相关机构对口交流机制。福师大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定期选派知名专家和优秀管理干部赴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开展交流和指导，每年选派3-5名高水平学者分别到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二级学院担任副院长（挂职），并支持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每年选派3-5名管理骨干来校跟岗（挂职）锻炼。</w:t>
            </w:r>
          </w:p>
        </w:tc>
        <w:tc>
          <w:tcPr>
            <w:tcW w:w="5245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0A6552" w:rsidRPr="007A63B1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5245"/>
        <w:gridCol w:w="2977"/>
        <w:gridCol w:w="1276"/>
        <w:gridCol w:w="1275"/>
      </w:tblGrid>
      <w:tr w:rsidR="000A6552" w:rsidRPr="008E12E0" w:rsidTr="002D531C">
        <w:trPr>
          <w:trHeight w:val="2964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177DAA" w:rsidP="00177D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.支持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提高人才培养层次，统筹双方优势资源，在现有联合培养硕士生工作基础上，给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每年增加3-5名联合培养研究生名额，加快推进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硕士生导师队伍建设和硕士生培养水平。</w:t>
            </w:r>
          </w:p>
        </w:tc>
        <w:tc>
          <w:tcPr>
            <w:tcW w:w="5245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Pr="007A63B1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3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</w:tr>
      <w:tr w:rsidR="000A6552" w:rsidRPr="008E12E0" w:rsidTr="002D531C">
        <w:trPr>
          <w:trHeight w:val="2254"/>
        </w:trPr>
        <w:tc>
          <w:tcPr>
            <w:tcW w:w="1242" w:type="dxa"/>
            <w:vMerge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B7410D" w:rsidP="00177D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.双方共同开展“3+1”本科生联合培养项目，</w:t>
            </w:r>
            <w:r w:rsidR="00177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每年安排10 个专业共计50名三年级优秀本科生到</w:t>
            </w:r>
            <w:r w:rsidR="00177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相关专业进行为期一年交流学习。</w:t>
            </w:r>
          </w:p>
        </w:tc>
        <w:tc>
          <w:tcPr>
            <w:tcW w:w="5245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Pr="007A63B1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</w:tbl>
    <w:tbl>
      <w:tblPr>
        <w:tblStyle w:val="a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5245"/>
        <w:gridCol w:w="2977"/>
        <w:gridCol w:w="1276"/>
        <w:gridCol w:w="1275"/>
      </w:tblGrid>
      <w:tr w:rsidR="006D685A" w:rsidRPr="008E12E0" w:rsidTr="002D531C">
        <w:trPr>
          <w:trHeight w:val="2767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6D685A" w:rsidRPr="008E12E0" w:rsidRDefault="006D685A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四、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685A" w:rsidRPr="008E12E0" w:rsidRDefault="006D685A" w:rsidP="00177D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.根据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需求，向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开放相关学科领域的国家级、部省级科研平台，接收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相关学科领域的师生开展科学研究和科研实践。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邀请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专家学者入校开展学术讲座。</w:t>
            </w:r>
          </w:p>
        </w:tc>
        <w:tc>
          <w:tcPr>
            <w:tcW w:w="5245" w:type="dxa"/>
          </w:tcPr>
          <w:p w:rsidR="006D685A" w:rsidRDefault="006D685A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685A" w:rsidRDefault="006D685A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D685A" w:rsidRPr="008E12E0" w:rsidRDefault="006D685A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D685A" w:rsidRDefault="006D685A" w:rsidP="009F7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  <w:p w:rsidR="006D685A" w:rsidRPr="007A63B1" w:rsidRDefault="006D685A" w:rsidP="009F7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社科处</w:t>
            </w:r>
          </w:p>
        </w:tc>
      </w:tr>
      <w:tr w:rsidR="006D685A" w:rsidRPr="008E12E0" w:rsidTr="002D531C">
        <w:trPr>
          <w:trHeight w:val="3388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6D685A" w:rsidRPr="008E12E0" w:rsidRDefault="006D685A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685A" w:rsidRPr="008E12E0" w:rsidRDefault="006D685A" w:rsidP="00B7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指导三明学院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申报国家自然科学基金、国家社会科学基金、教育部人文社科规划等国家级、部委级项目, 支持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相关学科领域的骨干教师参加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的国家级、部委级科研项目的申报与研究，合作开展科研攻关。</w:t>
            </w:r>
          </w:p>
        </w:tc>
        <w:tc>
          <w:tcPr>
            <w:tcW w:w="5245" w:type="dxa"/>
          </w:tcPr>
          <w:p w:rsidR="006D685A" w:rsidRPr="008E12E0" w:rsidRDefault="006D685A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685A" w:rsidRPr="008E12E0" w:rsidRDefault="006D685A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D685A" w:rsidRPr="008E12E0" w:rsidRDefault="006D685A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D685A" w:rsidRPr="007A63B1" w:rsidRDefault="006D685A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5245"/>
        <w:gridCol w:w="2977"/>
        <w:gridCol w:w="1276"/>
        <w:gridCol w:w="1275"/>
      </w:tblGrid>
      <w:tr w:rsidR="000A6552" w:rsidRPr="008E12E0" w:rsidTr="002D531C">
        <w:trPr>
          <w:trHeight w:val="2963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B7410D" w:rsidP="00B7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.双方以红色文化和闽学文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化为纽带，联合开展科学研究，在特色优势领域共建省级科研平台。三明学院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依托自身特色优势平台，积极为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开展相关学科专业人才培养、科学研究提供支持和帮助。</w:t>
            </w:r>
          </w:p>
        </w:tc>
        <w:tc>
          <w:tcPr>
            <w:tcW w:w="5245" w:type="dxa"/>
          </w:tcPr>
          <w:p w:rsidR="000A6552" w:rsidRPr="008E12E0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Pr="008E12E0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797E" w:rsidRPr="008E12E0" w:rsidRDefault="0058797E" w:rsidP="006D685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85A" w:rsidRDefault="006D685A" w:rsidP="006D68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  <w:p w:rsidR="000A6552" w:rsidRPr="007A63B1" w:rsidRDefault="006D685A" w:rsidP="006D685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社科处</w:t>
            </w:r>
          </w:p>
        </w:tc>
      </w:tr>
      <w:tr w:rsidR="000A6552" w:rsidRPr="008E12E0" w:rsidTr="002D531C">
        <w:trPr>
          <w:trHeight w:val="3543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12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五、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资源共享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741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双方建立图书文献资源共享机制，依托福建省高校数字图书馆（FuLink平台）实现数字文献资源的共建共享；利用CALIS馆际互借与文献传递系统开展文献传递和互借，积极开展文献资源业务的交流与合作，共同推进文献资源管理方面的技术合作。</w:t>
            </w:r>
          </w:p>
        </w:tc>
        <w:tc>
          <w:tcPr>
            <w:tcW w:w="5245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Pr="007A63B1" w:rsidRDefault="000A6552" w:rsidP="00712C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0A6552" w:rsidRPr="008E12E0" w:rsidTr="002D531C">
        <w:trPr>
          <w:trHeight w:val="2538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7410D" w:rsidRPr="008E12E0" w:rsidRDefault="00B7410D" w:rsidP="00B7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积极支持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到三明地区开展校地合作，并提供场地、人员等条件，助力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福师大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合作项目落地，协助或参与甲方在三明地区开展的校地合作项目。</w:t>
            </w:r>
          </w:p>
        </w:tc>
        <w:tc>
          <w:tcPr>
            <w:tcW w:w="5245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地方合作办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Default="000A6552" w:rsidP="009F7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  <w:p w:rsidR="000A6552" w:rsidRPr="007A63B1" w:rsidRDefault="000A6552" w:rsidP="009F7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社科处</w:t>
            </w:r>
          </w:p>
        </w:tc>
      </w:tr>
      <w:tr w:rsidR="000A6552" w:rsidRPr="008E12E0" w:rsidTr="002D531C">
        <w:trPr>
          <w:trHeight w:val="2396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B7410D" w:rsidP="00B7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3.指导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开展专业认证、课程建设、教学改革等，吸纳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优秀骨干教师参与相关国家级、省级教育教学改革项目，双方共建共享各类教学实践基地。</w:t>
            </w:r>
            <w:bookmarkStart w:id="0" w:name="_GoBack"/>
            <w:bookmarkEnd w:id="0"/>
          </w:p>
        </w:tc>
        <w:tc>
          <w:tcPr>
            <w:tcW w:w="5245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发规处</w:t>
            </w:r>
          </w:p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Pr="007A63B1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0A6552" w:rsidRPr="008E12E0" w:rsidTr="002D531C">
        <w:trPr>
          <w:trHeight w:val="154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A6552" w:rsidRPr="008E12E0" w:rsidRDefault="000A6552" w:rsidP="00712C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A6552" w:rsidRPr="008E12E0" w:rsidRDefault="00B7410D" w:rsidP="008B017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A6552" w:rsidRPr="008B01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4.双方互邀对方参与各自举办的重要学术活动、调研等，或通过合作方式联合举办上述相关活动。</w:t>
            </w:r>
          </w:p>
        </w:tc>
        <w:tc>
          <w:tcPr>
            <w:tcW w:w="5245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6552" w:rsidRDefault="000A6552" w:rsidP="00712CC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6552" w:rsidRDefault="000A6552" w:rsidP="009F7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  <w:p w:rsidR="000A6552" w:rsidRPr="007A63B1" w:rsidRDefault="000A6552" w:rsidP="009F7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社科处</w:t>
            </w:r>
          </w:p>
        </w:tc>
      </w:tr>
    </w:tbl>
    <w:p w:rsidR="00E34282" w:rsidRPr="008E12E0" w:rsidRDefault="00E34282" w:rsidP="002D531C">
      <w:pPr>
        <w:spacing w:line="560" w:lineRule="exact"/>
        <w:jc w:val="left"/>
        <w:rPr>
          <w:rFonts w:ascii="仿宋" w:eastAsia="仿宋" w:hAnsi="仿宋"/>
        </w:rPr>
      </w:pPr>
    </w:p>
    <w:sectPr w:rsidR="00E34282" w:rsidRPr="008E12E0" w:rsidSect="009C0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DCD" w:rsidRDefault="00A83DCD" w:rsidP="0084046E">
      <w:r>
        <w:separator/>
      </w:r>
    </w:p>
  </w:endnote>
  <w:endnote w:type="continuationSeparator" w:id="1">
    <w:p w:rsidR="00A83DCD" w:rsidRDefault="00A83DCD" w:rsidP="0084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45" w:rsidRDefault="002848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1A" w:rsidRDefault="00DC6DEB">
    <w:pPr>
      <w:pStyle w:val="a3"/>
      <w:jc w:val="center"/>
    </w:pPr>
    <w:r w:rsidRPr="00DC6DEB">
      <w:fldChar w:fldCharType="begin"/>
    </w:r>
    <w:r w:rsidR="00234BE8">
      <w:instrText xml:space="preserve"> PAGE   \* MERGEFORMAT </w:instrText>
    </w:r>
    <w:r w:rsidRPr="00DC6DEB">
      <w:fldChar w:fldCharType="separate"/>
    </w:r>
    <w:r w:rsidR="006D685A" w:rsidRPr="006D685A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EB111A" w:rsidRDefault="00A83D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45" w:rsidRDefault="002848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DCD" w:rsidRDefault="00A83DCD" w:rsidP="0084046E">
      <w:r>
        <w:separator/>
      </w:r>
    </w:p>
  </w:footnote>
  <w:footnote w:type="continuationSeparator" w:id="1">
    <w:p w:rsidR="00A83DCD" w:rsidRDefault="00A83DCD" w:rsidP="0084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45" w:rsidRDefault="002848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45" w:rsidRPr="006B7135" w:rsidRDefault="00284845" w:rsidP="006B71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45" w:rsidRDefault="002848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2E0"/>
    <w:rsid w:val="000A6552"/>
    <w:rsid w:val="00177DAA"/>
    <w:rsid w:val="00192A02"/>
    <w:rsid w:val="001A3F83"/>
    <w:rsid w:val="00204962"/>
    <w:rsid w:val="002337BE"/>
    <w:rsid w:val="00234BE8"/>
    <w:rsid w:val="00274176"/>
    <w:rsid w:val="00284845"/>
    <w:rsid w:val="0029507E"/>
    <w:rsid w:val="002D531C"/>
    <w:rsid w:val="003108D1"/>
    <w:rsid w:val="003371F6"/>
    <w:rsid w:val="00355EE8"/>
    <w:rsid w:val="00386E09"/>
    <w:rsid w:val="003B429D"/>
    <w:rsid w:val="003E058A"/>
    <w:rsid w:val="0058797E"/>
    <w:rsid w:val="005B7D8E"/>
    <w:rsid w:val="005C48FA"/>
    <w:rsid w:val="005F5AD3"/>
    <w:rsid w:val="006B7135"/>
    <w:rsid w:val="006D685A"/>
    <w:rsid w:val="006F2D4B"/>
    <w:rsid w:val="006F49C1"/>
    <w:rsid w:val="00712EAC"/>
    <w:rsid w:val="007E499D"/>
    <w:rsid w:val="00832080"/>
    <w:rsid w:val="0084046E"/>
    <w:rsid w:val="008764B1"/>
    <w:rsid w:val="008B0172"/>
    <w:rsid w:val="008C6073"/>
    <w:rsid w:val="008D3352"/>
    <w:rsid w:val="008E12E0"/>
    <w:rsid w:val="008E5A11"/>
    <w:rsid w:val="009C0C66"/>
    <w:rsid w:val="009F7BD9"/>
    <w:rsid w:val="00A113C5"/>
    <w:rsid w:val="00A11CBF"/>
    <w:rsid w:val="00A50CCF"/>
    <w:rsid w:val="00A83DCD"/>
    <w:rsid w:val="00AB63D5"/>
    <w:rsid w:val="00B7410D"/>
    <w:rsid w:val="00B930A2"/>
    <w:rsid w:val="00BF0D06"/>
    <w:rsid w:val="00C76893"/>
    <w:rsid w:val="00CC509E"/>
    <w:rsid w:val="00CF5B74"/>
    <w:rsid w:val="00D43688"/>
    <w:rsid w:val="00D53211"/>
    <w:rsid w:val="00DB5AEB"/>
    <w:rsid w:val="00DC6014"/>
    <w:rsid w:val="00DC6DEB"/>
    <w:rsid w:val="00E25E0F"/>
    <w:rsid w:val="00E34282"/>
    <w:rsid w:val="00E3615C"/>
    <w:rsid w:val="00E52671"/>
    <w:rsid w:val="00EA72AE"/>
    <w:rsid w:val="00E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E0"/>
    <w:pPr>
      <w:widowControl w:val="0"/>
      <w:spacing w:line="240" w:lineRule="auto"/>
      <w:ind w:firstLineChars="0" w:firstLine="0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8E12E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E12E0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8E12E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71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7135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E058A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E058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赖祥亮</dc:creator>
  <cp:lastModifiedBy>微软用户</cp:lastModifiedBy>
  <cp:revision>15</cp:revision>
  <cp:lastPrinted>2019-12-31T02:03:00Z</cp:lastPrinted>
  <dcterms:created xsi:type="dcterms:W3CDTF">2019-12-31T02:04:00Z</dcterms:created>
  <dcterms:modified xsi:type="dcterms:W3CDTF">2020-01-08T02:45:00Z</dcterms:modified>
</cp:coreProperties>
</file>