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国家自然科学基金委员会数学物理科学部</w:t>
      </w:r>
      <w:r>
        <w:rPr>
          <w:rFonts w:hint="eastAsia" w:ascii="微软雅黑" w:hAnsi="微软雅黑" w:eastAsia="微软雅黑" w:cs="微软雅黑"/>
          <w:b/>
          <w:bCs/>
          <w:i w:val="0"/>
          <w:iCs w:val="0"/>
          <w:caps w:val="0"/>
          <w:color w:val="000000"/>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000000"/>
          <w:spacing w:val="0"/>
          <w:sz w:val="30"/>
          <w:szCs w:val="30"/>
          <w:bdr w:val="none" w:color="auto" w:sz="0" w:space="0"/>
          <w:shd w:val="clear" w:fill="FFFFFF"/>
        </w:rPr>
        <w:t>2023年度第二期专项项目（科技活动项目）申请指南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仿宋"/>
          <w:i w:val="0"/>
          <w:iCs w:val="0"/>
          <w:caps w:val="0"/>
          <w:color w:val="00000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仿宋"/>
          <w:i w:val="0"/>
          <w:iCs w:val="0"/>
          <w:caps w:val="0"/>
          <w:color w:val="000000"/>
          <w:spacing w:val="0"/>
          <w:sz w:val="32"/>
          <w:szCs w:val="32"/>
        </w:rPr>
      </w:pPr>
      <w:bookmarkStart w:id="0" w:name="_GoBack"/>
      <w:bookmarkEnd w:id="0"/>
      <w:r>
        <w:rPr>
          <w:rFonts w:hint="eastAsia" w:ascii="仿宋" w:hAnsi="仿宋" w:eastAsia="仿宋" w:cs="仿宋"/>
          <w:i w:val="0"/>
          <w:iCs w:val="0"/>
          <w:caps w:val="0"/>
          <w:color w:val="000000"/>
          <w:spacing w:val="0"/>
          <w:sz w:val="32"/>
          <w:szCs w:val="32"/>
          <w:bdr w:val="none" w:color="auto" w:sz="0" w:space="0"/>
          <w:shd w:val="clear" w:fill="FFFFFF"/>
        </w:rPr>
        <w:t>根据《国家自然科学基金专项项目管理办法》，为加强学科发展战略顶层设计，促进数理领域学术交流，数学物理科学部现公开发布2023年度第二期专项项目（科技活动项目）申请的通知。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一、定位、资助范围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本期专项项目（科技活动项目）用于资助与数理领域发展相关的战略与管理研究、学术交流、科学传播、平台建设等活动，包括以下4种类型：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 </w:t>
      </w:r>
      <w:r>
        <w:rPr>
          <w:rFonts w:hint="eastAsia" w:ascii="仿宋" w:hAnsi="仿宋" w:eastAsia="仿宋" w:cs="仿宋"/>
          <w:b/>
          <w:bCs/>
          <w:i w:val="0"/>
          <w:iCs w:val="0"/>
          <w:caps w:val="0"/>
          <w:color w:val="000000"/>
          <w:spacing w:val="0"/>
          <w:sz w:val="32"/>
          <w:szCs w:val="32"/>
          <w:bdr w:val="none" w:color="auto" w:sz="0" w:space="0"/>
          <w:shd w:val="clear" w:fill="FFFFFF"/>
        </w:rPr>
        <w:t>有影响力系列国际会议</w:t>
      </w:r>
      <w:r>
        <w:rPr>
          <w:rFonts w:hint="eastAsia" w:ascii="仿宋" w:hAnsi="仿宋" w:eastAsia="仿宋" w:cs="仿宋"/>
          <w:i w:val="0"/>
          <w:iCs w:val="0"/>
          <w:caps w:val="0"/>
          <w:color w:val="000000"/>
          <w:spacing w:val="0"/>
          <w:sz w:val="32"/>
          <w:szCs w:val="32"/>
          <w:bdr w:val="none" w:color="auto" w:sz="0" w:space="0"/>
          <w:shd w:val="clear" w:fill="FFFFFF"/>
        </w:rPr>
        <w:t>：在华举办的国际/国内学术组织发起的有影响力的系列会议；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 </w:t>
      </w:r>
      <w:r>
        <w:rPr>
          <w:rStyle w:val="6"/>
          <w:rFonts w:hint="eastAsia" w:ascii="仿宋" w:hAnsi="仿宋" w:eastAsia="仿宋" w:cs="仿宋"/>
          <w:i w:val="0"/>
          <w:iCs w:val="0"/>
          <w:caps w:val="0"/>
          <w:color w:val="000000"/>
          <w:spacing w:val="0"/>
          <w:sz w:val="32"/>
          <w:szCs w:val="32"/>
          <w:bdr w:val="none" w:color="auto" w:sz="0" w:space="0"/>
          <w:shd w:val="clear" w:fill="FFFFFF"/>
        </w:rPr>
        <w:t>全国一级和二级学科会议：在国内举办的一级或二级学科全国性学术会议（一级或二级学科界定参考基金申请一级代码）</w:t>
      </w:r>
      <w:r>
        <w:rPr>
          <w:rFonts w:hint="eastAsia" w:ascii="仿宋" w:hAnsi="仿宋" w:eastAsia="仿宋" w:cs="仿宋"/>
          <w:i w:val="0"/>
          <w:iCs w:val="0"/>
          <w:caps w:val="0"/>
          <w:color w:val="000000"/>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3. </w:t>
      </w:r>
      <w:r>
        <w:rPr>
          <w:rFonts w:hint="eastAsia" w:ascii="仿宋" w:hAnsi="仿宋" w:eastAsia="仿宋" w:cs="仿宋"/>
          <w:b/>
          <w:bCs/>
          <w:i w:val="0"/>
          <w:iCs w:val="0"/>
          <w:caps w:val="0"/>
          <w:color w:val="000000"/>
          <w:spacing w:val="0"/>
          <w:sz w:val="32"/>
          <w:szCs w:val="32"/>
          <w:bdr w:val="none" w:color="auto" w:sz="0" w:space="0"/>
          <w:shd w:val="clear" w:fill="FFFFFF"/>
        </w:rPr>
        <w:t>基金发展战略研究与学术交流</w:t>
      </w:r>
      <w:r>
        <w:rPr>
          <w:rFonts w:hint="eastAsia" w:ascii="仿宋" w:hAnsi="仿宋" w:eastAsia="仿宋" w:cs="仿宋"/>
          <w:i w:val="0"/>
          <w:iCs w:val="0"/>
          <w:caps w:val="0"/>
          <w:color w:val="000000"/>
          <w:spacing w:val="0"/>
          <w:sz w:val="32"/>
          <w:szCs w:val="32"/>
          <w:bdr w:val="none" w:color="auto" w:sz="0" w:space="0"/>
          <w:shd w:val="clear" w:fill="FFFFFF"/>
        </w:rPr>
        <w:t>：与基金发展相关的战略与管理研究，专题讲习班和研讨会等学术交流等活动；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4. 科学传播和科普活动：</w:t>
      </w:r>
      <w:r>
        <w:rPr>
          <w:rFonts w:hint="eastAsia" w:ascii="仿宋" w:hAnsi="仿宋" w:eastAsia="仿宋" w:cs="仿宋"/>
          <w:i w:val="0"/>
          <w:iCs w:val="0"/>
          <w:caps w:val="0"/>
          <w:color w:val="000000"/>
          <w:spacing w:val="0"/>
          <w:sz w:val="32"/>
          <w:szCs w:val="32"/>
          <w:bdr w:val="none" w:color="auto" w:sz="0" w:space="0"/>
          <w:shd w:val="clear" w:fill="FFFFFF"/>
        </w:rPr>
        <w:t>针对数理领域取得的重要成果，科学基金项目实施中产生的前沿知识、创新思想和方法等，发挥正向宣传作用或与研究相结合的科学传播和科普活动。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二、申请要求及注意事项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（一）申请条件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本专项项目申请人应当具备以下条件：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 具有承担基础研究课题或者其他从事基础研究的经历；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 具有高级专业技术职务（职称）或者具有博士学位。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正在博士后流动站或者工作站内从事研究工作、正在攻读研究生学位以及无工作单位或者所在单位不是依托单位的人员不得申请专项项目。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（二）限项申请规定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 本专项项目不计入高级专业技术职务（职称）人员申请和承担总数2项的范围。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 申请人同一年度一般只能申请1项专项项目（科技活动项目）。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（三）申请注意事项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1．本专项项目要求坚持问题导向，强化需求牵引，注重交叉融合，鼓励聚焦基础科学研究领域开展战略与管理研究和学术交流。</w:t>
      </w:r>
      <w:r>
        <w:rPr>
          <w:rFonts w:hint="eastAsia" w:ascii="仿宋" w:hAnsi="仿宋" w:eastAsia="仿宋" w:cs="仿宋"/>
          <w:b/>
          <w:bCs/>
          <w:i w:val="0"/>
          <w:iCs w:val="0"/>
          <w:caps w:val="0"/>
          <w:color w:val="000000"/>
          <w:spacing w:val="0"/>
          <w:sz w:val="32"/>
          <w:szCs w:val="32"/>
          <w:bdr w:val="none" w:color="auto" w:sz="0" w:space="0"/>
          <w:shd w:val="clear" w:fill="FFFFFF"/>
        </w:rPr>
        <w:t>一般受理2024年1月1日-2024年7月31日期间举办的科技活动。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2．申请人在填报申请书前，应当认真阅读本指南和《2023年度国家自然科学基金项目指南》中申请规定的相关内容，不符合指南相关要求的申请项目将不予受理。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3．</w:t>
      </w:r>
      <w:r>
        <w:rPr>
          <w:rFonts w:hint="eastAsia" w:ascii="仿宋" w:hAnsi="仿宋" w:eastAsia="仿宋" w:cs="仿宋"/>
          <w:i w:val="0"/>
          <w:iCs w:val="0"/>
          <w:caps w:val="0"/>
          <w:color w:val="000000"/>
          <w:spacing w:val="0"/>
          <w:sz w:val="32"/>
          <w:szCs w:val="32"/>
          <w:bdr w:val="none" w:color="auto" w:sz="0" w:space="0"/>
          <w:shd w:val="clear" w:fill="FFFFFF"/>
        </w:rPr>
        <w:t>申请书中的资助类别选择“专项项目”，亚类选择“科技活动项目”，附注说明选择“科学部综合科技活动项目”，根据申请的具体研究领域选择A01-A30及下属申请代码。</w:t>
      </w:r>
      <w:r>
        <w:rPr>
          <w:rStyle w:val="6"/>
          <w:rFonts w:hint="eastAsia" w:ascii="仿宋" w:hAnsi="仿宋" w:eastAsia="仿宋" w:cs="仿宋"/>
          <w:i w:val="0"/>
          <w:iCs w:val="0"/>
          <w:caps w:val="0"/>
          <w:color w:val="000000"/>
          <w:spacing w:val="0"/>
          <w:sz w:val="32"/>
          <w:szCs w:val="32"/>
          <w:bdr w:val="none" w:color="auto" w:sz="0" w:space="0"/>
          <w:shd w:val="clear" w:fill="FFFFFF"/>
        </w:rPr>
        <w:t>以上选择不准确或未选择的项目申请将不予受理。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4．项目研究期限统一填写为2024年1月1日-2024年7月31日。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5．</w:t>
      </w:r>
      <w:r>
        <w:rPr>
          <w:rStyle w:val="6"/>
          <w:rFonts w:hint="eastAsia" w:ascii="仿宋" w:hAnsi="仿宋" w:eastAsia="仿宋" w:cs="仿宋"/>
          <w:i w:val="0"/>
          <w:iCs w:val="0"/>
          <w:caps w:val="0"/>
          <w:color w:val="000000"/>
          <w:spacing w:val="0"/>
          <w:sz w:val="32"/>
          <w:szCs w:val="32"/>
          <w:bdr w:val="none" w:color="auto" w:sz="0" w:space="0"/>
          <w:shd w:val="clear" w:fill="FFFFFF"/>
        </w:rPr>
        <w:t>申请书正文开始部分必须标注科技活动的类型：（1）有影响力系列国际会议；（2）全国一级和二级学科会议；（3）基金发展战略研究与学术交流；（4）</w:t>
      </w:r>
      <w:r>
        <w:rPr>
          <w:rFonts w:hint="eastAsia" w:ascii="仿宋" w:hAnsi="仿宋" w:eastAsia="仿宋" w:cs="仿宋"/>
          <w:b/>
          <w:bCs/>
          <w:i w:val="0"/>
          <w:iCs w:val="0"/>
          <w:caps w:val="0"/>
          <w:color w:val="000000"/>
          <w:spacing w:val="0"/>
          <w:sz w:val="32"/>
          <w:szCs w:val="32"/>
          <w:bdr w:val="none" w:color="auto" w:sz="0" w:space="0"/>
          <w:shd w:val="clear" w:fill="FFFFFF"/>
        </w:rPr>
        <w:t>科学传播和科普活动</w:t>
      </w:r>
      <w:r>
        <w:rPr>
          <w:rStyle w:val="6"/>
          <w:rFonts w:hint="eastAsia" w:ascii="仿宋" w:hAnsi="仿宋" w:eastAsia="仿宋" w:cs="仿宋"/>
          <w:i w:val="0"/>
          <w:iCs w:val="0"/>
          <w:caps w:val="0"/>
          <w:color w:val="000000"/>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6．各类科技活动申请书撰写和附件要求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（1）申请书撰写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①“</w:t>
      </w:r>
      <w:r>
        <w:rPr>
          <w:rStyle w:val="6"/>
          <w:rFonts w:hint="eastAsia" w:ascii="仿宋" w:hAnsi="仿宋" w:eastAsia="仿宋" w:cs="仿宋"/>
          <w:i w:val="0"/>
          <w:iCs w:val="0"/>
          <w:caps w:val="0"/>
          <w:color w:val="000000"/>
          <w:spacing w:val="0"/>
          <w:sz w:val="32"/>
          <w:szCs w:val="32"/>
          <w:bdr w:val="none" w:color="auto" w:sz="0" w:space="0"/>
          <w:shd w:val="clear" w:fill="FFFFFF"/>
        </w:rPr>
        <w:t>有影响力系列国际会议</w:t>
      </w:r>
      <w:r>
        <w:rPr>
          <w:rFonts w:hint="eastAsia" w:ascii="仿宋" w:hAnsi="仿宋" w:eastAsia="仿宋" w:cs="仿宋"/>
          <w:i w:val="0"/>
          <w:iCs w:val="0"/>
          <w:caps w:val="0"/>
          <w:color w:val="000000"/>
          <w:spacing w:val="0"/>
          <w:sz w:val="32"/>
          <w:szCs w:val="32"/>
          <w:bdr w:val="none" w:color="auto" w:sz="0" w:space="0"/>
          <w:shd w:val="clear" w:fill="FFFFFF"/>
        </w:rPr>
        <w:t>”和“</w:t>
      </w:r>
      <w:r>
        <w:rPr>
          <w:rStyle w:val="6"/>
          <w:rFonts w:hint="eastAsia" w:ascii="仿宋" w:hAnsi="仿宋" w:eastAsia="仿宋" w:cs="仿宋"/>
          <w:i w:val="0"/>
          <w:iCs w:val="0"/>
          <w:caps w:val="0"/>
          <w:color w:val="000000"/>
          <w:spacing w:val="0"/>
          <w:sz w:val="32"/>
          <w:szCs w:val="32"/>
          <w:bdr w:val="none" w:color="auto" w:sz="0" w:space="0"/>
          <w:shd w:val="clear" w:fill="FFFFFF"/>
        </w:rPr>
        <w:t>全国一级和二级学科会议</w:t>
      </w:r>
      <w:r>
        <w:rPr>
          <w:rFonts w:hint="eastAsia" w:ascii="仿宋" w:hAnsi="仿宋" w:eastAsia="仿宋" w:cs="仿宋"/>
          <w:i w:val="0"/>
          <w:iCs w:val="0"/>
          <w:caps w:val="0"/>
          <w:color w:val="000000"/>
          <w:spacing w:val="0"/>
          <w:sz w:val="32"/>
          <w:szCs w:val="32"/>
          <w:bdr w:val="none" w:color="auto" w:sz="0" w:space="0"/>
          <w:shd w:val="clear" w:fill="FFFFFF"/>
        </w:rPr>
        <w:t>”项目应包括：举办科技活动的背景和意义，组委会组成情况、活动的起止时间、参加范围、规模、潜在影响，重要报告名称及其主讲人介绍，预期成果等；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②“</w:t>
      </w:r>
      <w:r>
        <w:rPr>
          <w:rStyle w:val="6"/>
          <w:rFonts w:hint="eastAsia" w:ascii="仿宋" w:hAnsi="仿宋" w:eastAsia="仿宋" w:cs="仿宋"/>
          <w:i w:val="0"/>
          <w:iCs w:val="0"/>
          <w:caps w:val="0"/>
          <w:color w:val="000000"/>
          <w:spacing w:val="0"/>
          <w:sz w:val="32"/>
          <w:szCs w:val="32"/>
          <w:bdr w:val="none" w:color="auto" w:sz="0" w:space="0"/>
          <w:shd w:val="clear" w:fill="FFFFFF"/>
        </w:rPr>
        <w:t>基金发展战略研究与学术交流</w:t>
      </w:r>
      <w:r>
        <w:rPr>
          <w:rFonts w:hint="eastAsia" w:ascii="仿宋" w:hAnsi="仿宋" w:eastAsia="仿宋" w:cs="仿宋"/>
          <w:i w:val="0"/>
          <w:iCs w:val="0"/>
          <w:caps w:val="0"/>
          <w:color w:val="000000"/>
          <w:spacing w:val="0"/>
          <w:sz w:val="32"/>
          <w:szCs w:val="32"/>
          <w:bdr w:val="none" w:color="auto" w:sz="0" w:space="0"/>
          <w:shd w:val="clear" w:fill="FFFFFF"/>
        </w:rPr>
        <w:t>”项目应包括：学科发展的现状、态势、所面临的挑战与机遇，战略研究目标和内容，研究方案和可行性分析，预期成果等。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w:t>
      </w:r>
      <w:r>
        <w:rPr>
          <w:rStyle w:val="6"/>
          <w:rFonts w:hint="eastAsia" w:ascii="仿宋" w:hAnsi="仿宋" w:eastAsia="仿宋" w:cs="仿宋"/>
          <w:i w:val="0"/>
          <w:iCs w:val="0"/>
          <w:caps w:val="0"/>
          <w:color w:val="000000"/>
          <w:spacing w:val="0"/>
          <w:sz w:val="32"/>
          <w:szCs w:val="32"/>
          <w:bdr w:val="none" w:color="auto" w:sz="0" w:space="0"/>
          <w:shd w:val="clear" w:fill="FFFFFF"/>
        </w:rPr>
        <w:t>申请书附件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“有影响力系列国际会议”</w:t>
      </w:r>
      <w:r>
        <w:rPr>
          <w:rFonts w:hint="eastAsia" w:ascii="仿宋" w:hAnsi="仿宋" w:eastAsia="仿宋" w:cs="仿宋"/>
          <w:i w:val="0"/>
          <w:iCs w:val="0"/>
          <w:caps w:val="0"/>
          <w:color w:val="000000"/>
          <w:spacing w:val="0"/>
          <w:sz w:val="32"/>
          <w:szCs w:val="32"/>
          <w:bdr w:val="none" w:color="auto" w:sz="0" w:space="0"/>
          <w:shd w:val="clear" w:fill="FFFFFF"/>
        </w:rPr>
        <w:t>和</w:t>
      </w:r>
      <w:r>
        <w:rPr>
          <w:rFonts w:hint="eastAsia" w:ascii="仿宋" w:hAnsi="仿宋" w:eastAsia="仿宋" w:cs="仿宋"/>
          <w:b/>
          <w:bCs/>
          <w:i w:val="0"/>
          <w:iCs w:val="0"/>
          <w:caps w:val="0"/>
          <w:color w:val="000000"/>
          <w:spacing w:val="0"/>
          <w:sz w:val="32"/>
          <w:szCs w:val="32"/>
          <w:bdr w:val="none" w:color="auto" w:sz="0" w:space="0"/>
          <w:shd w:val="clear" w:fill="FFFFFF"/>
        </w:rPr>
        <w:t>“全国一级和二级学科会议”</w:t>
      </w:r>
      <w:r>
        <w:rPr>
          <w:rFonts w:hint="eastAsia" w:ascii="仿宋" w:hAnsi="仿宋" w:eastAsia="仿宋" w:cs="仿宋"/>
          <w:i w:val="0"/>
          <w:iCs w:val="0"/>
          <w:caps w:val="0"/>
          <w:color w:val="000000"/>
          <w:spacing w:val="0"/>
          <w:sz w:val="32"/>
          <w:szCs w:val="32"/>
          <w:bdr w:val="none" w:color="auto" w:sz="0" w:space="0"/>
          <w:shd w:val="clear" w:fill="FFFFFF"/>
        </w:rPr>
        <w:t>项目申请书材料须包括相关学术组织授权举办会议的证明材料或主管部门正式办会的审批文件。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7．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r>
        <w:rPr>
          <w:rFonts w:hint="eastAsia" w:ascii="仿宋" w:hAnsi="仿宋" w:eastAsia="仿宋" w:cs="仿宋"/>
          <w:b/>
          <w:bCs/>
          <w:i w:val="0"/>
          <w:iCs w:val="0"/>
          <w:caps w:val="0"/>
          <w:color w:val="000000"/>
          <w:spacing w:val="0"/>
          <w:sz w:val="32"/>
          <w:szCs w:val="32"/>
          <w:bdr w:val="none" w:color="auto" w:sz="0" w:space="0"/>
          <w:shd w:val="clear" w:fill="FFFFFF"/>
        </w:rPr>
        <w:t>“</w:t>
      </w:r>
      <w:r>
        <w:rPr>
          <w:rStyle w:val="6"/>
          <w:rFonts w:hint="eastAsia" w:ascii="仿宋" w:hAnsi="仿宋" w:eastAsia="仿宋" w:cs="仿宋"/>
          <w:i w:val="0"/>
          <w:iCs w:val="0"/>
          <w:caps w:val="0"/>
          <w:color w:val="000000"/>
          <w:spacing w:val="0"/>
          <w:sz w:val="32"/>
          <w:szCs w:val="32"/>
          <w:bdr w:val="none" w:color="auto" w:sz="0" w:space="0"/>
          <w:shd w:val="clear" w:fill="FFFFFF"/>
        </w:rPr>
        <w:t>有影响力系列国际会议</w:t>
      </w:r>
      <w:r>
        <w:rPr>
          <w:rFonts w:hint="eastAsia" w:ascii="仿宋" w:hAnsi="仿宋" w:eastAsia="仿宋" w:cs="仿宋"/>
          <w:b/>
          <w:bCs/>
          <w:i w:val="0"/>
          <w:iCs w:val="0"/>
          <w:caps w:val="0"/>
          <w:color w:val="000000"/>
          <w:spacing w:val="0"/>
          <w:sz w:val="32"/>
          <w:szCs w:val="32"/>
          <w:bdr w:val="none" w:color="auto" w:sz="0" w:space="0"/>
          <w:shd w:val="clear" w:fill="FFFFFF"/>
        </w:rPr>
        <w:t>”和“</w:t>
      </w:r>
      <w:r>
        <w:rPr>
          <w:rStyle w:val="6"/>
          <w:rFonts w:hint="eastAsia" w:ascii="仿宋" w:hAnsi="仿宋" w:eastAsia="仿宋" w:cs="仿宋"/>
          <w:i w:val="0"/>
          <w:iCs w:val="0"/>
          <w:caps w:val="0"/>
          <w:color w:val="000000"/>
          <w:spacing w:val="0"/>
          <w:sz w:val="32"/>
          <w:szCs w:val="32"/>
          <w:bdr w:val="none" w:color="auto" w:sz="0" w:space="0"/>
          <w:shd w:val="clear" w:fill="FFFFFF"/>
        </w:rPr>
        <w:t>全国一级和二级学科会议</w:t>
      </w:r>
      <w:r>
        <w:rPr>
          <w:rFonts w:hint="eastAsia" w:ascii="仿宋" w:hAnsi="仿宋" w:eastAsia="仿宋" w:cs="仿宋"/>
          <w:b/>
          <w:bCs/>
          <w:i w:val="0"/>
          <w:iCs w:val="0"/>
          <w:caps w:val="0"/>
          <w:color w:val="000000"/>
          <w:spacing w:val="0"/>
          <w:sz w:val="32"/>
          <w:szCs w:val="32"/>
          <w:bdr w:val="none" w:color="auto" w:sz="0" w:space="0"/>
          <w:shd w:val="clear" w:fill="FFFFFF"/>
        </w:rPr>
        <w:t>”</w:t>
      </w:r>
      <w:r>
        <w:rPr>
          <w:rStyle w:val="6"/>
          <w:rFonts w:hint="eastAsia" w:ascii="仿宋" w:hAnsi="仿宋" w:eastAsia="仿宋" w:cs="仿宋"/>
          <w:i w:val="0"/>
          <w:iCs w:val="0"/>
          <w:caps w:val="0"/>
          <w:color w:val="000000"/>
          <w:spacing w:val="0"/>
          <w:sz w:val="32"/>
          <w:szCs w:val="32"/>
          <w:bdr w:val="none" w:color="auto" w:sz="0" w:space="0"/>
          <w:shd w:val="clear" w:fill="FFFFFF"/>
        </w:rPr>
        <w:t>项目在预算说明书中除对项目各项支出的主要用途和测算理由进行说明外，还应对会议整体预算及基本情况进行说明。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8．申请人完成申请书撰写后，在线提交电子申请书及附件材料。申请材料中所需的附件材料（有关证明材料、审批文件和其他特别说明要求提交的纸质材料原件），全部以电子扫描件上传。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9．依托单位应对本单位申请人所提交申请材料的真实性、完整性和合规性进行审核；对申请人申报预算的目标相关性、政策相符性和经济合理性进行审核。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10．项目获批准后，</w:t>
      </w:r>
      <w:r>
        <w:rPr>
          <w:rStyle w:val="6"/>
          <w:rFonts w:hint="eastAsia" w:ascii="仿宋" w:hAnsi="仿宋" w:eastAsia="仿宋" w:cs="仿宋"/>
          <w:i w:val="0"/>
          <w:iCs w:val="0"/>
          <w:caps w:val="0"/>
          <w:color w:val="000000"/>
          <w:spacing w:val="0"/>
          <w:sz w:val="32"/>
          <w:szCs w:val="32"/>
          <w:bdr w:val="none" w:color="auto" w:sz="0" w:space="0"/>
          <w:shd w:val="clear" w:fill="FFFFFF"/>
        </w:rPr>
        <w:t>将申请书的纸质签字盖章页装订在《资助项目计划书》最后</w:t>
      </w:r>
      <w:r>
        <w:rPr>
          <w:rFonts w:hint="eastAsia" w:ascii="仿宋" w:hAnsi="仿宋" w:eastAsia="仿宋" w:cs="仿宋"/>
          <w:i w:val="0"/>
          <w:iCs w:val="0"/>
          <w:caps w:val="0"/>
          <w:color w:val="000000"/>
          <w:spacing w:val="0"/>
          <w:sz w:val="32"/>
          <w:szCs w:val="32"/>
          <w:bdr w:val="none" w:color="auto" w:sz="0" w:space="0"/>
          <w:shd w:val="clear" w:fill="FFFFFF"/>
        </w:rPr>
        <w:t>，一并提交。签字盖章的信息应与电子申请书严格保持一致。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11．</w:t>
      </w:r>
      <w:r>
        <w:rPr>
          <w:rStyle w:val="6"/>
          <w:rFonts w:hint="eastAsia" w:ascii="仿宋" w:hAnsi="仿宋" w:eastAsia="仿宋" w:cs="仿宋"/>
          <w:i w:val="0"/>
          <w:iCs w:val="0"/>
          <w:caps w:val="0"/>
          <w:color w:val="000000"/>
          <w:spacing w:val="0"/>
          <w:sz w:val="32"/>
          <w:szCs w:val="32"/>
          <w:bdr w:val="none" w:color="auto" w:sz="0" w:space="0"/>
          <w:shd w:val="clear" w:fill="FFFFFF"/>
        </w:rPr>
        <w:t>本期专项项目实行无纸化申请，无需报送纸质申请书，申请接收时间为2023年9月23日-2023年9月30日。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12．</w:t>
      </w:r>
      <w:r>
        <w:rPr>
          <w:rStyle w:val="6"/>
          <w:rFonts w:hint="eastAsia" w:ascii="仿宋" w:hAnsi="仿宋" w:eastAsia="仿宋" w:cs="仿宋"/>
          <w:i w:val="0"/>
          <w:iCs w:val="0"/>
          <w:caps w:val="0"/>
          <w:color w:val="000000"/>
          <w:spacing w:val="0"/>
          <w:sz w:val="32"/>
          <w:szCs w:val="32"/>
          <w:bdr w:val="none" w:color="auto" w:sz="0" w:space="0"/>
          <w:shd w:val="clear" w:fill="FFFFFF"/>
        </w:rPr>
        <w:t>依托单位须在截止时间前（2023年9月30日16时）通过信息系统逐项完成审核、确认后在线提交电子申请书及附件材料；须在项目申请截止时间后24小时内在线提交项目申请清单。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r>
        <w:rPr>
          <w:rStyle w:val="6"/>
          <w:rFonts w:hint="eastAsia" w:ascii="仿宋" w:hAnsi="仿宋" w:eastAsia="仿宋" w:cs="仿宋"/>
          <w:i w:val="0"/>
          <w:iCs w:val="0"/>
          <w:caps w:val="0"/>
          <w:color w:val="000000"/>
          <w:spacing w:val="0"/>
          <w:sz w:val="32"/>
          <w:szCs w:val="32"/>
          <w:bdr w:val="none" w:color="auto" w:sz="0" w:space="0"/>
          <w:shd w:val="clear" w:fill="FFFFFF"/>
        </w:rPr>
        <w:t>三、咨询联系方式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1. 填报过程中遇到的技术问题，可联系国家自然科学基金委员会信息中心协助解决，联系电话：010-62317474。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2. 其他问题可咨询国家自然科学基金委员会数理科学部综合与战略规划处：倪培根、陈国长；电话：010-62326911、6910；Email：mathphys@nsfc.gov.cn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GulimChe">
    <w:panose1 w:val="020B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WRjODUwMzNiNjFiMmM4Y2I3NzcxNWJkZWFiMjQifQ=="/>
  </w:docVars>
  <w:rsids>
    <w:rsidRoot w:val="00000000"/>
    <w:rsid w:val="1CF9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2023-09-25T00:22:18Z</dcterms:created>
  <dc:creator>Administrator</dc:creator>
  <cp:lastModifiedBy>Administrator</cp:lastModifiedBy>
  <dcterms:modified xsi:type="dcterms:W3CDTF">2023-09-25T00:24:05Z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E0944B668D3E4FE6B4B77935BB470FD1_12</vt:lpwstr>
  </property>
</Properties>
</file>