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rPr>
          <w:rFonts w:ascii="宋体" w:hAnsi="宋体" w:cs="宋体"/>
          <w:sz w:val="24"/>
          <w:szCs w:val="22"/>
        </w:rPr>
      </w:pPr>
      <w:r>
        <w:rPr>
          <w:rFonts w:hint="eastAsia" w:ascii="宋体" w:hAnsi="宋体" w:cs="宋体"/>
          <w:b/>
          <w:bCs/>
          <w:sz w:val="48"/>
          <w:szCs w:val="48"/>
        </w:rPr>
        <w:t xml:space="preserve">                 深圳恒之源技术股份有限公司</w:t>
      </w:r>
    </w:p>
    <w:p>
      <w:pPr>
        <w:widowControl/>
        <w:spacing w:before="94" w:after="94"/>
        <w:jc w:val="left"/>
        <w:rPr>
          <w:rFonts w:ascii="Arial" w:hAnsi="Arial" w:cs="Arial"/>
          <w:color w:val="000000"/>
          <w:kern w:val="0"/>
          <w:sz w:val="30"/>
          <w:szCs w:val="30"/>
        </w:rPr>
      </w:pPr>
      <w:r>
        <w:rPr>
          <w:rFonts w:hint="eastAsia" w:ascii="宋体" w:hAnsi="宋体" w:cs="Arial"/>
          <w:b/>
          <w:bCs/>
          <w:color w:val="000000"/>
          <w:kern w:val="0"/>
          <w:sz w:val="60"/>
        </w:rPr>
        <w:t>一、公司简介</w:t>
      </w:r>
    </w:p>
    <w:p>
      <w:pPr>
        <w:widowControl/>
        <w:spacing w:before="94" w:after="94"/>
        <w:jc w:val="left"/>
        <w:rPr>
          <w:rFonts w:hint="eastAsia" w:ascii="宋体" w:hAnsi="宋体" w:cs="Arial"/>
          <w:color w:val="000000"/>
          <w:kern w:val="0"/>
          <w:sz w:val="21"/>
          <w:szCs w:val="21"/>
        </w:rPr>
      </w:pPr>
      <w:r>
        <w:rPr>
          <w:rFonts w:ascii="Arial" w:hAnsi="Arial" w:cs="Arial"/>
          <w:color w:val="000000"/>
          <w:kern w:val="0"/>
          <w:sz w:val="30"/>
          <w:szCs w:val="30"/>
        </w:rPr>
        <w:t>   </w:t>
      </w:r>
      <w:r>
        <w:rPr>
          <w:rFonts w:hint="eastAsia" w:ascii="宋体" w:hAnsi="宋体" w:cs="Arial"/>
          <w:color w:val="000000"/>
          <w:kern w:val="0"/>
          <w:sz w:val="21"/>
          <w:szCs w:val="21"/>
        </w:rPr>
        <w:t>深圳恒之源技术股份有限公司成立于2000年4月，是集开发、生产、销售为一体的国家级高新技术企业。公司秉承“恒心、创新、诚信、服务”的经营理念，坚持“用户至上、质量第一、以人为本、追求合理”的管理理念，专注于“</w:t>
      </w:r>
      <w:r>
        <w:rPr>
          <w:rFonts w:hint="eastAsia" w:ascii="宋体" w:hAnsi="宋体" w:cs="Arial"/>
          <w:b/>
          <w:bCs/>
          <w:color w:val="000000"/>
          <w:kern w:val="0"/>
          <w:sz w:val="21"/>
          <w:szCs w:val="21"/>
        </w:rPr>
        <w:t>全球轨道交通领域值得信赖的智慧照明系统提供商 </w:t>
      </w:r>
      <w:r>
        <w:rPr>
          <w:rFonts w:hint="eastAsia" w:ascii="宋体" w:hAnsi="宋体" w:cs="Arial"/>
          <w:color w:val="000000"/>
          <w:kern w:val="0"/>
          <w:sz w:val="21"/>
          <w:szCs w:val="21"/>
        </w:rPr>
        <w:t>”，力争成为“</w:t>
      </w:r>
      <w:r>
        <w:rPr>
          <w:rFonts w:hint="eastAsia" w:ascii="宋体" w:hAnsi="宋体" w:cs="Arial"/>
          <w:b/>
          <w:bCs/>
          <w:color w:val="000000"/>
          <w:kern w:val="0"/>
          <w:sz w:val="21"/>
          <w:szCs w:val="21"/>
        </w:rPr>
        <w:t>行业引领者</w:t>
      </w:r>
      <w:r>
        <w:rPr>
          <w:rFonts w:hint="eastAsia" w:ascii="宋体" w:hAnsi="宋体" w:cs="Arial"/>
          <w:color w:val="000000"/>
          <w:kern w:val="0"/>
          <w:sz w:val="21"/>
          <w:szCs w:val="21"/>
        </w:rPr>
        <w:t>”。</w:t>
      </w:r>
    </w:p>
    <w:p>
      <w:pPr>
        <w:spacing w:line="360" w:lineRule="auto"/>
        <w:ind w:firstLine="315" w:firstLineChars="150"/>
        <w:rPr>
          <w:rFonts w:ascii="宋体" w:hAnsi="宋体"/>
          <w:sz w:val="21"/>
          <w:szCs w:val="21"/>
        </w:rPr>
      </w:pPr>
      <w:r>
        <w:rPr>
          <w:rFonts w:hint="eastAsia" w:ascii="仿宋_GB2312" w:hAnsi="仿宋_GB2312"/>
          <w:kern w:val="0"/>
          <w:sz w:val="21"/>
          <w:szCs w:val="21"/>
        </w:rPr>
        <w:t>深圳恒之源技术股份有限公司率先将LED照明应用于中国高档铁路列车，现拥有八大系</w:t>
      </w:r>
      <w:r>
        <w:rPr>
          <w:rFonts w:hint="eastAsia" w:ascii="宋体" w:hAnsi="宋体"/>
          <w:sz w:val="21"/>
          <w:szCs w:val="21"/>
        </w:rPr>
        <w:t>列、800余种产品、32项专利,为轨道车辆的内外部照明显示控制系统提供全部产品，目前，深圳恒之源技术股份有限公司产品应用在不断扩大，不但在中国高铁CRH1、 CRH2 、CRH3、CRH5等动车上大量使用，而且在深圳地铁车辆1号线、2号线、3号线、4号线、5号线、11号线上的LED照明使用上占90%以上的市场份额，同时北京地铁车辆、机场轻轨线和上海地铁、广州地铁等国内主要城市的轨道交通用户均大量采用恒之源系列产品，另外随着国内的车辆制造商远销到巴西、俄罗斯、欧洲、沙特等市场，使恒之源产品已远销到世界各地。</w:t>
      </w:r>
    </w:p>
    <w:p>
      <w:pPr>
        <w:widowControl/>
        <w:spacing w:before="94" w:after="94" w:line="449" w:lineRule="atLeast"/>
        <w:ind w:firstLine="598"/>
        <w:jc w:val="left"/>
        <w:rPr>
          <w:rFonts w:ascii="Arial" w:hAnsi="Arial" w:cs="Arial"/>
          <w:color w:val="000000"/>
          <w:kern w:val="0"/>
          <w:sz w:val="21"/>
          <w:szCs w:val="21"/>
        </w:rPr>
      </w:pPr>
      <w:r>
        <w:rPr>
          <w:rFonts w:hint="eastAsia" w:ascii="宋体" w:hAnsi="宋体" w:cs="Arial"/>
          <w:color w:val="000000"/>
          <w:kern w:val="0"/>
          <w:sz w:val="21"/>
          <w:szCs w:val="21"/>
        </w:rPr>
        <w:t>深圳恒之源技术股份有限公司持续进步、不断扩大，已经向创新型现代化企业目标迈进，创新驱动实质上是人才驱动，我们的团队期待您的加入。</w:t>
      </w:r>
    </w:p>
    <w:tbl>
      <w:tblPr>
        <w:tblStyle w:val="10"/>
        <w:tblW w:w="13110" w:type="dxa"/>
        <w:tblInd w:w="0" w:type="dxa"/>
        <w:tblLayout w:type="fixed"/>
        <w:tblCellMar>
          <w:top w:w="15" w:type="dxa"/>
          <w:left w:w="15" w:type="dxa"/>
          <w:bottom w:w="15" w:type="dxa"/>
          <w:right w:w="15" w:type="dxa"/>
        </w:tblCellMar>
      </w:tblPr>
      <w:tblGrid>
        <w:gridCol w:w="1585"/>
        <w:gridCol w:w="1583"/>
        <w:gridCol w:w="2300"/>
        <w:gridCol w:w="1916"/>
        <w:gridCol w:w="1339"/>
        <w:gridCol w:w="1595"/>
        <w:gridCol w:w="2792"/>
      </w:tblGrid>
      <w:tr>
        <w:tblPrEx>
          <w:tblLayout w:type="fixed"/>
          <w:tblCellMar>
            <w:top w:w="15" w:type="dxa"/>
            <w:left w:w="15" w:type="dxa"/>
            <w:bottom w:w="15" w:type="dxa"/>
            <w:right w:w="15" w:type="dxa"/>
          </w:tblCellMar>
        </w:tblPrEx>
        <w:trPr>
          <w:trHeight w:val="1309" w:hRule="atLeast"/>
        </w:trPr>
        <w:tc>
          <w:tcPr>
            <w:tcW w:w="13110" w:type="dxa"/>
            <w:gridSpan w:val="7"/>
            <w:tcBorders>
              <w:top w:val="nil"/>
              <w:left w:val="nil"/>
              <w:bottom w:val="nil"/>
              <w:right w:val="nil"/>
            </w:tcBorders>
            <w:shd w:val="clear" w:color="auto" w:fill="auto"/>
            <w:tcMar>
              <w:top w:w="19" w:type="dxa"/>
              <w:left w:w="19" w:type="dxa"/>
              <w:bottom w:w="19" w:type="dxa"/>
              <w:right w:w="19" w:type="dxa"/>
            </w:tcMar>
            <w:vAlign w:val="center"/>
          </w:tcPr>
          <w:p>
            <w:pPr>
              <w:widowControl/>
              <w:jc w:val="left"/>
              <w:textAlignment w:val="center"/>
              <w:rPr>
                <w:rFonts w:ascii="Arial" w:hAnsi="Arial" w:cs="Arial"/>
                <w:color w:val="000000"/>
                <w:kern w:val="0"/>
                <w:sz w:val="30"/>
                <w:szCs w:val="30"/>
              </w:rPr>
            </w:pPr>
            <w:r>
              <w:rPr>
                <w:rFonts w:hint="eastAsia" w:ascii="宋体" w:hAnsi="宋体" w:cs="Arial"/>
                <w:b/>
                <w:bCs/>
                <w:color w:val="000000"/>
                <w:kern w:val="0"/>
                <w:sz w:val="60"/>
              </w:rPr>
              <w:t>二、招聘岗位</w:t>
            </w:r>
          </w:p>
        </w:tc>
      </w:tr>
      <w:tr>
        <w:tblPrEx>
          <w:tblLayout w:type="fixed"/>
          <w:tblCellMar>
            <w:top w:w="15" w:type="dxa"/>
            <w:left w:w="15" w:type="dxa"/>
            <w:bottom w:w="15" w:type="dxa"/>
            <w:right w:w="15" w:type="dxa"/>
          </w:tblCellMar>
        </w:tblPrEx>
        <w:trPr>
          <w:trHeight w:val="1066" w:hRule="atLeast"/>
        </w:trPr>
        <w:tc>
          <w:tcPr>
            <w:tcW w:w="1585" w:type="dxa"/>
            <w:tcBorders>
              <w:top w:val="single" w:color="000000" w:sz="8" w:space="0"/>
              <w:left w:val="single" w:color="000000" w:sz="8" w:space="0"/>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both"/>
              <w:textAlignment w:val="center"/>
              <w:rPr>
                <w:rFonts w:ascii="Arial" w:hAnsi="Arial" w:cs="Arial"/>
                <w:color w:val="000000"/>
                <w:kern w:val="0"/>
                <w:sz w:val="30"/>
                <w:szCs w:val="30"/>
              </w:rPr>
            </w:pPr>
            <w:r>
              <w:rPr>
                <w:rFonts w:hint="eastAsia" w:ascii="宋体" w:hAnsi="宋体" w:cs="Arial"/>
                <w:b/>
                <w:bCs/>
                <w:color w:val="000000"/>
                <w:kern w:val="0"/>
                <w:sz w:val="36"/>
              </w:rPr>
              <w:t>职位类别</w:t>
            </w:r>
          </w:p>
        </w:tc>
        <w:tc>
          <w:tcPr>
            <w:tcW w:w="1583" w:type="dxa"/>
            <w:tcBorders>
              <w:top w:val="single" w:color="000000" w:sz="8" w:space="0"/>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30"/>
                <w:szCs w:val="30"/>
              </w:rPr>
            </w:pPr>
            <w:r>
              <w:rPr>
                <w:rFonts w:hint="eastAsia" w:ascii="宋体" w:hAnsi="宋体" w:cs="Arial"/>
                <w:b/>
                <w:bCs/>
                <w:color w:val="000000"/>
                <w:kern w:val="0"/>
                <w:sz w:val="36"/>
              </w:rPr>
              <w:t>职位名称</w:t>
            </w:r>
          </w:p>
        </w:tc>
        <w:tc>
          <w:tcPr>
            <w:tcW w:w="2300" w:type="dxa"/>
            <w:tcBorders>
              <w:top w:val="single" w:color="000000" w:sz="8" w:space="0"/>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both"/>
              <w:textAlignment w:val="center"/>
              <w:rPr>
                <w:rFonts w:ascii="Arial" w:hAnsi="Arial" w:cs="Arial"/>
                <w:color w:val="000000"/>
                <w:kern w:val="0"/>
                <w:sz w:val="30"/>
                <w:szCs w:val="30"/>
              </w:rPr>
            </w:pPr>
            <w:r>
              <w:rPr>
                <w:rFonts w:hint="eastAsia" w:ascii="宋体" w:hAnsi="宋体" w:cs="Arial"/>
                <w:b/>
                <w:bCs/>
                <w:color w:val="000000"/>
                <w:kern w:val="0"/>
                <w:sz w:val="36"/>
              </w:rPr>
              <w:t>专业要求</w:t>
            </w:r>
          </w:p>
        </w:tc>
        <w:tc>
          <w:tcPr>
            <w:tcW w:w="1916" w:type="dxa"/>
            <w:tcBorders>
              <w:top w:val="single" w:color="000000" w:sz="8" w:space="0"/>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30"/>
                <w:szCs w:val="30"/>
              </w:rPr>
            </w:pPr>
            <w:r>
              <w:rPr>
                <w:rFonts w:hint="eastAsia" w:ascii="宋体" w:hAnsi="宋体" w:cs="Arial"/>
                <w:b/>
                <w:bCs/>
                <w:color w:val="000000"/>
                <w:kern w:val="0"/>
                <w:sz w:val="36"/>
              </w:rPr>
              <w:t>学历要求</w:t>
            </w:r>
          </w:p>
        </w:tc>
        <w:tc>
          <w:tcPr>
            <w:tcW w:w="1339" w:type="dxa"/>
            <w:tcBorders>
              <w:top w:val="single" w:color="000000" w:sz="8" w:space="0"/>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30"/>
                <w:szCs w:val="30"/>
              </w:rPr>
            </w:pPr>
            <w:r>
              <w:rPr>
                <w:rFonts w:hint="eastAsia" w:ascii="宋体" w:hAnsi="宋体" w:cs="Arial"/>
                <w:b/>
                <w:bCs/>
                <w:color w:val="000000"/>
                <w:kern w:val="0"/>
                <w:sz w:val="36"/>
              </w:rPr>
              <w:t>工作地点</w:t>
            </w:r>
          </w:p>
        </w:tc>
        <w:tc>
          <w:tcPr>
            <w:tcW w:w="1595" w:type="dxa"/>
            <w:tcBorders>
              <w:top w:val="single" w:color="000000" w:sz="8" w:space="0"/>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30"/>
                <w:szCs w:val="30"/>
              </w:rPr>
            </w:pPr>
            <w:r>
              <w:rPr>
                <w:rFonts w:hint="eastAsia" w:ascii="宋体" w:hAnsi="宋体" w:cs="Arial"/>
                <w:b/>
                <w:bCs/>
                <w:color w:val="000000"/>
                <w:kern w:val="0"/>
                <w:sz w:val="36"/>
              </w:rPr>
              <w:t>招聘人数</w:t>
            </w:r>
          </w:p>
        </w:tc>
        <w:tc>
          <w:tcPr>
            <w:tcW w:w="2792" w:type="dxa"/>
            <w:tcBorders>
              <w:top w:val="single" w:color="000000" w:sz="8" w:space="0"/>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30"/>
                <w:szCs w:val="30"/>
              </w:rPr>
            </w:pPr>
            <w:r>
              <w:rPr>
                <w:rFonts w:hint="eastAsia" w:ascii="宋体" w:hAnsi="宋体" w:cs="Arial"/>
                <w:b/>
                <w:bCs/>
                <w:color w:val="000000"/>
                <w:kern w:val="0"/>
                <w:sz w:val="36"/>
              </w:rPr>
              <w:t>任职要求</w:t>
            </w:r>
          </w:p>
        </w:tc>
      </w:tr>
      <w:tr>
        <w:tblPrEx>
          <w:tblLayout w:type="fixed"/>
          <w:tblCellMar>
            <w:top w:w="15" w:type="dxa"/>
            <w:left w:w="15" w:type="dxa"/>
            <w:bottom w:w="15" w:type="dxa"/>
            <w:right w:w="15" w:type="dxa"/>
          </w:tblCellMar>
        </w:tblPrEx>
        <w:trPr>
          <w:trHeight w:val="1234" w:hRule="atLeast"/>
        </w:trPr>
        <w:tc>
          <w:tcPr>
            <w:tcW w:w="1585" w:type="dxa"/>
            <w:vMerge w:val="restart"/>
            <w:tcBorders>
              <w:top w:val="nil"/>
              <w:left w:val="single" w:color="000000" w:sz="8" w:space="0"/>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管理类</w:t>
            </w:r>
          </w:p>
        </w:tc>
        <w:tc>
          <w:tcPr>
            <w:tcW w:w="1583"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人力资源管理</w:t>
            </w:r>
          </w:p>
        </w:tc>
        <w:tc>
          <w:tcPr>
            <w:tcW w:w="2300"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left"/>
              <w:textAlignment w:val="center"/>
              <w:rPr>
                <w:rFonts w:ascii="Arial" w:hAnsi="Arial" w:cs="Arial"/>
                <w:color w:val="000000"/>
                <w:kern w:val="0"/>
                <w:sz w:val="21"/>
                <w:szCs w:val="21"/>
              </w:rPr>
            </w:pPr>
            <w:r>
              <w:rPr>
                <w:rFonts w:hint="eastAsia" w:ascii="宋体" w:hAnsi="宋体" w:cs="Arial"/>
                <w:color w:val="000000"/>
                <w:kern w:val="0"/>
                <w:sz w:val="21"/>
                <w:szCs w:val="21"/>
              </w:rPr>
              <w:t>人力资源管理、工商管理、行政、文秘等相关专业</w:t>
            </w:r>
          </w:p>
        </w:tc>
        <w:tc>
          <w:tcPr>
            <w:tcW w:w="1916"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本科及以上学历</w:t>
            </w:r>
          </w:p>
        </w:tc>
        <w:tc>
          <w:tcPr>
            <w:tcW w:w="1339"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广东深圳</w:t>
            </w:r>
          </w:p>
        </w:tc>
        <w:tc>
          <w:tcPr>
            <w:tcW w:w="1595"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2</w:t>
            </w:r>
          </w:p>
        </w:tc>
        <w:tc>
          <w:tcPr>
            <w:tcW w:w="2792" w:type="dxa"/>
            <w:vMerge w:val="restart"/>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left"/>
              <w:textAlignment w:val="center"/>
              <w:rPr>
                <w:rFonts w:ascii="Arial" w:hAnsi="Arial" w:cs="Arial"/>
                <w:color w:val="000000"/>
                <w:kern w:val="0"/>
                <w:sz w:val="28"/>
                <w:szCs w:val="28"/>
              </w:rPr>
            </w:pPr>
            <w:r>
              <w:rPr>
                <w:rFonts w:hint="eastAsia" w:ascii="宋体" w:hAnsi="宋体" w:cs="Arial"/>
                <w:color w:val="000000"/>
                <w:kern w:val="0"/>
                <w:sz w:val="28"/>
                <w:szCs w:val="28"/>
              </w:rPr>
              <w:t>1、男女不限，CET四级以上；</w:t>
            </w:r>
            <w:r>
              <w:rPr>
                <w:rFonts w:hint="eastAsia" w:ascii="宋体" w:hAnsi="宋体" w:cs="Arial"/>
                <w:color w:val="000000"/>
                <w:kern w:val="0"/>
                <w:sz w:val="28"/>
                <w:szCs w:val="28"/>
              </w:rPr>
              <w:br w:type="textWrapping"/>
            </w:r>
            <w:r>
              <w:rPr>
                <w:rFonts w:hint="eastAsia" w:ascii="宋体" w:hAnsi="宋体" w:cs="Arial"/>
                <w:color w:val="000000"/>
                <w:kern w:val="0"/>
                <w:sz w:val="28"/>
                <w:szCs w:val="28"/>
              </w:rPr>
              <w:t>2、良好的敬业精神和沟通协调能力，高度的责任心；</w:t>
            </w:r>
            <w:r>
              <w:rPr>
                <w:rFonts w:hint="eastAsia" w:ascii="宋体" w:hAnsi="宋体" w:cs="Arial"/>
                <w:color w:val="000000"/>
                <w:kern w:val="0"/>
                <w:sz w:val="28"/>
                <w:szCs w:val="28"/>
              </w:rPr>
              <w:br w:type="textWrapping"/>
            </w:r>
            <w:r>
              <w:rPr>
                <w:rFonts w:hint="eastAsia" w:ascii="宋体" w:hAnsi="宋体" w:cs="Arial"/>
                <w:color w:val="000000"/>
                <w:kern w:val="0"/>
                <w:sz w:val="28"/>
                <w:szCs w:val="28"/>
              </w:rPr>
              <w:t>3；较强的抗压能力和学习能力；</w:t>
            </w:r>
          </w:p>
        </w:tc>
      </w:tr>
      <w:tr>
        <w:tblPrEx>
          <w:tblLayout w:type="fixed"/>
          <w:tblCellMar>
            <w:top w:w="15" w:type="dxa"/>
            <w:left w:w="15" w:type="dxa"/>
            <w:bottom w:w="15" w:type="dxa"/>
            <w:right w:w="15" w:type="dxa"/>
          </w:tblCellMar>
        </w:tblPrEx>
        <w:trPr>
          <w:trHeight w:val="1234" w:hRule="atLeast"/>
        </w:trPr>
        <w:tc>
          <w:tcPr>
            <w:tcW w:w="1585" w:type="dxa"/>
            <w:vMerge w:val="continue"/>
            <w:tcBorders>
              <w:top w:val="nil"/>
              <w:left w:val="single" w:color="000000" w:sz="8" w:space="0"/>
              <w:bottom w:val="single" w:color="000000" w:sz="8" w:space="0"/>
              <w:right w:val="single" w:color="000000" w:sz="8" w:space="0"/>
            </w:tcBorders>
            <w:vAlign w:val="center"/>
          </w:tcPr>
          <w:p>
            <w:pPr>
              <w:widowControl/>
              <w:jc w:val="left"/>
              <w:rPr>
                <w:rFonts w:ascii="Arial" w:hAnsi="Arial" w:cs="Arial"/>
                <w:color w:val="000000"/>
                <w:kern w:val="0"/>
                <w:sz w:val="21"/>
                <w:szCs w:val="21"/>
              </w:rPr>
            </w:pPr>
          </w:p>
        </w:tc>
        <w:tc>
          <w:tcPr>
            <w:tcW w:w="1583"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财务会计</w:t>
            </w:r>
          </w:p>
        </w:tc>
        <w:tc>
          <w:tcPr>
            <w:tcW w:w="2300"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left"/>
              <w:textAlignment w:val="center"/>
              <w:rPr>
                <w:rFonts w:ascii="Arial" w:hAnsi="Arial" w:cs="Arial"/>
                <w:color w:val="000000"/>
                <w:kern w:val="0"/>
                <w:sz w:val="21"/>
                <w:szCs w:val="21"/>
              </w:rPr>
            </w:pPr>
            <w:r>
              <w:rPr>
                <w:rFonts w:hint="eastAsia" w:ascii="宋体" w:hAnsi="宋体" w:cs="Arial"/>
                <w:color w:val="000000"/>
                <w:kern w:val="0"/>
                <w:sz w:val="21"/>
                <w:szCs w:val="21"/>
              </w:rPr>
              <w:t>会计专业毕业</w:t>
            </w:r>
          </w:p>
        </w:tc>
        <w:tc>
          <w:tcPr>
            <w:tcW w:w="1916"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本科及以上学历</w:t>
            </w:r>
          </w:p>
        </w:tc>
        <w:tc>
          <w:tcPr>
            <w:tcW w:w="1339"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广东深圳</w:t>
            </w:r>
          </w:p>
        </w:tc>
        <w:tc>
          <w:tcPr>
            <w:tcW w:w="1595"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hint="eastAsia" w:ascii="Arial" w:hAnsi="Arial" w:eastAsia="宋体" w:cs="Arial"/>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2792" w:type="dxa"/>
            <w:vMerge w:val="continue"/>
            <w:tcBorders>
              <w:top w:val="nil"/>
              <w:left w:val="nil"/>
              <w:bottom w:val="single" w:color="000000" w:sz="8" w:space="0"/>
              <w:right w:val="single" w:color="000000" w:sz="8" w:space="0"/>
            </w:tcBorders>
            <w:vAlign w:val="center"/>
          </w:tcPr>
          <w:p>
            <w:pPr>
              <w:widowControl/>
              <w:jc w:val="left"/>
              <w:rPr>
                <w:rFonts w:ascii="Arial" w:hAnsi="Arial" w:cs="Arial"/>
                <w:color w:val="000000"/>
                <w:kern w:val="0"/>
                <w:sz w:val="28"/>
                <w:szCs w:val="28"/>
              </w:rPr>
            </w:pPr>
          </w:p>
        </w:tc>
      </w:tr>
      <w:tr>
        <w:tblPrEx>
          <w:tblLayout w:type="fixed"/>
          <w:tblCellMar>
            <w:top w:w="15" w:type="dxa"/>
            <w:left w:w="15" w:type="dxa"/>
            <w:bottom w:w="15" w:type="dxa"/>
            <w:right w:w="15" w:type="dxa"/>
          </w:tblCellMar>
        </w:tblPrEx>
        <w:trPr>
          <w:trHeight w:val="1234" w:hRule="atLeast"/>
        </w:trPr>
        <w:tc>
          <w:tcPr>
            <w:tcW w:w="1585" w:type="dxa"/>
            <w:vMerge w:val="continue"/>
            <w:tcBorders>
              <w:top w:val="nil"/>
              <w:left w:val="single" w:color="000000" w:sz="8" w:space="0"/>
              <w:bottom w:val="single" w:color="000000" w:sz="8" w:space="0"/>
              <w:right w:val="single" w:color="000000" w:sz="8" w:space="0"/>
            </w:tcBorders>
            <w:vAlign w:val="center"/>
          </w:tcPr>
          <w:p>
            <w:pPr>
              <w:widowControl/>
              <w:jc w:val="left"/>
              <w:rPr>
                <w:rFonts w:ascii="Arial" w:hAnsi="Arial" w:cs="Arial"/>
                <w:color w:val="000000"/>
                <w:kern w:val="0"/>
                <w:sz w:val="21"/>
                <w:szCs w:val="21"/>
              </w:rPr>
            </w:pPr>
          </w:p>
        </w:tc>
        <w:tc>
          <w:tcPr>
            <w:tcW w:w="1583"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采购助理</w:t>
            </w:r>
          </w:p>
        </w:tc>
        <w:tc>
          <w:tcPr>
            <w:tcW w:w="2300"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left"/>
              <w:textAlignment w:val="center"/>
              <w:rPr>
                <w:rFonts w:ascii="Arial" w:hAnsi="Arial" w:cs="Arial"/>
                <w:color w:val="000000"/>
                <w:kern w:val="0"/>
                <w:sz w:val="21"/>
                <w:szCs w:val="21"/>
              </w:rPr>
            </w:pPr>
            <w:r>
              <w:rPr>
                <w:rFonts w:hint="eastAsia" w:ascii="宋体" w:hAnsi="宋体" w:cs="Arial"/>
                <w:color w:val="000000"/>
                <w:kern w:val="0"/>
                <w:sz w:val="21"/>
                <w:szCs w:val="21"/>
              </w:rPr>
              <w:t>理工科相关专业</w:t>
            </w:r>
          </w:p>
        </w:tc>
        <w:tc>
          <w:tcPr>
            <w:tcW w:w="1916"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本科及以上学历</w:t>
            </w:r>
          </w:p>
        </w:tc>
        <w:tc>
          <w:tcPr>
            <w:tcW w:w="1339"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广东深圳</w:t>
            </w:r>
          </w:p>
        </w:tc>
        <w:tc>
          <w:tcPr>
            <w:tcW w:w="1595"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3</w:t>
            </w:r>
          </w:p>
        </w:tc>
        <w:tc>
          <w:tcPr>
            <w:tcW w:w="2792" w:type="dxa"/>
            <w:vMerge w:val="continue"/>
            <w:tcBorders>
              <w:top w:val="nil"/>
              <w:left w:val="nil"/>
              <w:bottom w:val="single" w:color="000000" w:sz="8" w:space="0"/>
              <w:right w:val="single" w:color="000000" w:sz="8" w:space="0"/>
            </w:tcBorders>
            <w:vAlign w:val="center"/>
          </w:tcPr>
          <w:p>
            <w:pPr>
              <w:widowControl/>
              <w:jc w:val="left"/>
              <w:rPr>
                <w:rFonts w:ascii="Arial" w:hAnsi="Arial" w:cs="Arial"/>
                <w:color w:val="000000"/>
                <w:kern w:val="0"/>
                <w:sz w:val="28"/>
                <w:szCs w:val="28"/>
              </w:rPr>
            </w:pPr>
          </w:p>
        </w:tc>
      </w:tr>
      <w:tr>
        <w:tblPrEx>
          <w:tblLayout w:type="fixed"/>
          <w:tblCellMar>
            <w:top w:w="15" w:type="dxa"/>
            <w:left w:w="15" w:type="dxa"/>
            <w:bottom w:w="15" w:type="dxa"/>
            <w:right w:w="15" w:type="dxa"/>
          </w:tblCellMar>
        </w:tblPrEx>
        <w:trPr>
          <w:trHeight w:val="1234" w:hRule="atLeast"/>
        </w:trPr>
        <w:tc>
          <w:tcPr>
            <w:tcW w:w="1585" w:type="dxa"/>
            <w:tcBorders>
              <w:top w:val="nil"/>
              <w:left w:val="single" w:color="000000" w:sz="8" w:space="0"/>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营销类</w:t>
            </w:r>
          </w:p>
        </w:tc>
        <w:tc>
          <w:tcPr>
            <w:tcW w:w="1583"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商务专员/业务跟单员</w:t>
            </w:r>
          </w:p>
        </w:tc>
        <w:tc>
          <w:tcPr>
            <w:tcW w:w="2300"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left"/>
              <w:textAlignment w:val="center"/>
              <w:rPr>
                <w:rFonts w:ascii="Arial" w:hAnsi="Arial" w:cs="Arial"/>
                <w:color w:val="000000"/>
                <w:kern w:val="0"/>
                <w:sz w:val="21"/>
                <w:szCs w:val="21"/>
              </w:rPr>
            </w:pPr>
            <w:r>
              <w:rPr>
                <w:rFonts w:hint="eastAsia" w:ascii="宋体" w:hAnsi="宋体" w:cs="Arial"/>
                <w:color w:val="000000"/>
                <w:kern w:val="0"/>
                <w:sz w:val="21"/>
                <w:szCs w:val="21"/>
              </w:rPr>
              <w:t>国际贸易、市场营销等相关专业</w:t>
            </w:r>
          </w:p>
        </w:tc>
        <w:tc>
          <w:tcPr>
            <w:tcW w:w="1916"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本科及以上学历</w:t>
            </w:r>
          </w:p>
        </w:tc>
        <w:tc>
          <w:tcPr>
            <w:tcW w:w="1339"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广东深圳</w:t>
            </w:r>
          </w:p>
        </w:tc>
        <w:tc>
          <w:tcPr>
            <w:tcW w:w="1595"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3</w:t>
            </w:r>
          </w:p>
        </w:tc>
        <w:tc>
          <w:tcPr>
            <w:tcW w:w="2792" w:type="dxa"/>
            <w:vMerge w:val="continue"/>
            <w:tcBorders>
              <w:top w:val="nil"/>
              <w:left w:val="nil"/>
              <w:bottom w:val="single" w:color="000000" w:sz="8" w:space="0"/>
              <w:right w:val="single" w:color="000000" w:sz="8" w:space="0"/>
            </w:tcBorders>
            <w:vAlign w:val="center"/>
          </w:tcPr>
          <w:p>
            <w:pPr>
              <w:widowControl/>
              <w:jc w:val="left"/>
              <w:rPr>
                <w:rFonts w:ascii="Arial" w:hAnsi="Arial" w:cs="Arial"/>
                <w:color w:val="000000"/>
                <w:kern w:val="0"/>
                <w:sz w:val="28"/>
                <w:szCs w:val="28"/>
              </w:rPr>
            </w:pPr>
          </w:p>
        </w:tc>
      </w:tr>
      <w:tr>
        <w:tblPrEx>
          <w:tblLayout w:type="fixed"/>
          <w:tblCellMar>
            <w:top w:w="15" w:type="dxa"/>
            <w:left w:w="15" w:type="dxa"/>
            <w:bottom w:w="15" w:type="dxa"/>
            <w:right w:w="15" w:type="dxa"/>
          </w:tblCellMar>
        </w:tblPrEx>
        <w:trPr>
          <w:trHeight w:val="1234" w:hRule="atLeast"/>
        </w:trPr>
        <w:tc>
          <w:tcPr>
            <w:tcW w:w="1585" w:type="dxa"/>
            <w:vMerge w:val="restart"/>
            <w:tcBorders>
              <w:top w:val="nil"/>
              <w:left w:val="single" w:color="000000" w:sz="8" w:space="0"/>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技术类</w:t>
            </w:r>
          </w:p>
        </w:tc>
        <w:tc>
          <w:tcPr>
            <w:tcW w:w="1583"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结构设计</w:t>
            </w:r>
          </w:p>
        </w:tc>
        <w:tc>
          <w:tcPr>
            <w:tcW w:w="2300"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left"/>
              <w:textAlignment w:val="center"/>
              <w:rPr>
                <w:rFonts w:ascii="Arial" w:hAnsi="Arial" w:cs="Arial"/>
                <w:color w:val="000000"/>
                <w:kern w:val="0"/>
                <w:sz w:val="21"/>
                <w:szCs w:val="21"/>
              </w:rPr>
            </w:pPr>
            <w:r>
              <w:rPr>
                <w:rFonts w:hint="eastAsia" w:ascii="宋体" w:hAnsi="宋体" w:cs="Arial"/>
                <w:color w:val="000000"/>
                <w:kern w:val="0"/>
                <w:sz w:val="21"/>
                <w:szCs w:val="21"/>
              </w:rPr>
              <w:t>机械、材料成型、模具设计等相关专业</w:t>
            </w:r>
          </w:p>
        </w:tc>
        <w:tc>
          <w:tcPr>
            <w:tcW w:w="1916"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本科及以上学历</w:t>
            </w:r>
          </w:p>
        </w:tc>
        <w:tc>
          <w:tcPr>
            <w:tcW w:w="1339"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广东深圳</w:t>
            </w:r>
          </w:p>
        </w:tc>
        <w:tc>
          <w:tcPr>
            <w:tcW w:w="1595"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6</w:t>
            </w:r>
          </w:p>
        </w:tc>
        <w:tc>
          <w:tcPr>
            <w:tcW w:w="2792" w:type="dxa"/>
            <w:vMerge w:val="continue"/>
            <w:tcBorders>
              <w:top w:val="nil"/>
              <w:left w:val="nil"/>
              <w:bottom w:val="single" w:color="000000" w:sz="8" w:space="0"/>
              <w:right w:val="single" w:color="000000" w:sz="8" w:space="0"/>
            </w:tcBorders>
            <w:vAlign w:val="center"/>
          </w:tcPr>
          <w:p>
            <w:pPr>
              <w:widowControl/>
              <w:jc w:val="left"/>
              <w:rPr>
                <w:rFonts w:ascii="Arial" w:hAnsi="Arial" w:cs="Arial"/>
                <w:color w:val="000000"/>
                <w:kern w:val="0"/>
                <w:sz w:val="28"/>
                <w:szCs w:val="28"/>
              </w:rPr>
            </w:pPr>
          </w:p>
        </w:tc>
      </w:tr>
      <w:tr>
        <w:tblPrEx>
          <w:tblLayout w:type="fixed"/>
          <w:tblCellMar>
            <w:top w:w="15" w:type="dxa"/>
            <w:left w:w="15" w:type="dxa"/>
            <w:bottom w:w="15" w:type="dxa"/>
            <w:right w:w="15" w:type="dxa"/>
          </w:tblCellMar>
        </w:tblPrEx>
        <w:trPr>
          <w:trHeight w:val="1234" w:hRule="atLeast"/>
        </w:trPr>
        <w:tc>
          <w:tcPr>
            <w:tcW w:w="1585" w:type="dxa"/>
            <w:vMerge w:val="continue"/>
            <w:tcBorders>
              <w:top w:val="nil"/>
              <w:left w:val="single" w:color="000000" w:sz="8" w:space="0"/>
              <w:bottom w:val="single" w:color="000000" w:sz="8" w:space="0"/>
              <w:right w:val="single" w:color="000000" w:sz="8" w:space="0"/>
            </w:tcBorders>
            <w:vAlign w:val="center"/>
          </w:tcPr>
          <w:p>
            <w:pPr>
              <w:widowControl/>
              <w:jc w:val="left"/>
              <w:rPr>
                <w:rFonts w:ascii="Arial" w:hAnsi="Arial" w:cs="Arial"/>
                <w:color w:val="000000"/>
                <w:kern w:val="0"/>
                <w:sz w:val="21"/>
                <w:szCs w:val="21"/>
              </w:rPr>
            </w:pPr>
          </w:p>
        </w:tc>
        <w:tc>
          <w:tcPr>
            <w:tcW w:w="1583"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电源开发</w:t>
            </w:r>
          </w:p>
        </w:tc>
        <w:tc>
          <w:tcPr>
            <w:tcW w:w="2300"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left"/>
              <w:textAlignment w:val="center"/>
              <w:rPr>
                <w:rFonts w:ascii="Arial" w:hAnsi="Arial" w:cs="Arial"/>
                <w:color w:val="000000"/>
                <w:kern w:val="0"/>
                <w:sz w:val="21"/>
                <w:szCs w:val="21"/>
              </w:rPr>
            </w:pPr>
            <w:r>
              <w:rPr>
                <w:rFonts w:hint="eastAsia" w:ascii="宋体" w:hAnsi="宋体" w:cs="Arial"/>
                <w:color w:val="000000"/>
                <w:kern w:val="0"/>
                <w:sz w:val="21"/>
                <w:szCs w:val="21"/>
              </w:rPr>
              <w:t>电子、物理、微电子、机电一体化等相关专业</w:t>
            </w:r>
          </w:p>
        </w:tc>
        <w:tc>
          <w:tcPr>
            <w:tcW w:w="1916"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本科及以上学历</w:t>
            </w:r>
          </w:p>
        </w:tc>
        <w:tc>
          <w:tcPr>
            <w:tcW w:w="1339"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广东深圳</w:t>
            </w:r>
          </w:p>
        </w:tc>
        <w:tc>
          <w:tcPr>
            <w:tcW w:w="1595"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6</w:t>
            </w:r>
          </w:p>
        </w:tc>
        <w:tc>
          <w:tcPr>
            <w:tcW w:w="2792" w:type="dxa"/>
            <w:vMerge w:val="continue"/>
            <w:tcBorders>
              <w:top w:val="nil"/>
              <w:left w:val="nil"/>
              <w:bottom w:val="single" w:color="000000" w:sz="8" w:space="0"/>
              <w:right w:val="single" w:color="000000" w:sz="8" w:space="0"/>
            </w:tcBorders>
            <w:vAlign w:val="center"/>
          </w:tcPr>
          <w:p>
            <w:pPr>
              <w:widowControl/>
              <w:jc w:val="left"/>
              <w:rPr>
                <w:rFonts w:ascii="Arial" w:hAnsi="Arial" w:cs="Arial"/>
                <w:color w:val="000000"/>
                <w:kern w:val="0"/>
                <w:sz w:val="28"/>
                <w:szCs w:val="28"/>
              </w:rPr>
            </w:pPr>
          </w:p>
        </w:tc>
      </w:tr>
      <w:tr>
        <w:tblPrEx>
          <w:tblLayout w:type="fixed"/>
          <w:tblCellMar>
            <w:top w:w="15" w:type="dxa"/>
            <w:left w:w="15" w:type="dxa"/>
            <w:bottom w:w="15" w:type="dxa"/>
            <w:right w:w="15" w:type="dxa"/>
          </w:tblCellMar>
        </w:tblPrEx>
        <w:trPr>
          <w:trHeight w:val="1234" w:hRule="atLeast"/>
        </w:trPr>
        <w:tc>
          <w:tcPr>
            <w:tcW w:w="1585" w:type="dxa"/>
            <w:vMerge w:val="continue"/>
            <w:tcBorders>
              <w:top w:val="nil"/>
              <w:left w:val="single" w:color="000000" w:sz="8" w:space="0"/>
              <w:bottom w:val="single" w:color="000000" w:sz="8" w:space="0"/>
              <w:right w:val="single" w:color="000000" w:sz="8" w:space="0"/>
            </w:tcBorders>
            <w:vAlign w:val="center"/>
          </w:tcPr>
          <w:p>
            <w:pPr>
              <w:widowControl/>
              <w:jc w:val="left"/>
              <w:rPr>
                <w:rFonts w:ascii="Arial" w:hAnsi="Arial" w:cs="Arial"/>
                <w:color w:val="000000"/>
                <w:kern w:val="0"/>
                <w:sz w:val="21"/>
                <w:szCs w:val="21"/>
              </w:rPr>
            </w:pPr>
          </w:p>
        </w:tc>
        <w:tc>
          <w:tcPr>
            <w:tcW w:w="1583"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工艺工程师</w:t>
            </w:r>
          </w:p>
        </w:tc>
        <w:tc>
          <w:tcPr>
            <w:tcW w:w="2300"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left"/>
              <w:textAlignment w:val="center"/>
              <w:rPr>
                <w:rFonts w:ascii="Arial" w:hAnsi="Arial" w:cs="Arial"/>
                <w:color w:val="000000"/>
                <w:kern w:val="0"/>
                <w:sz w:val="21"/>
                <w:szCs w:val="21"/>
              </w:rPr>
            </w:pPr>
            <w:r>
              <w:rPr>
                <w:rFonts w:hint="eastAsia" w:ascii="宋体" w:hAnsi="宋体" w:cs="Arial"/>
                <w:color w:val="000000"/>
                <w:kern w:val="0"/>
                <w:sz w:val="21"/>
                <w:szCs w:val="21"/>
              </w:rPr>
              <w:t>电子、机械等相关专业</w:t>
            </w:r>
          </w:p>
        </w:tc>
        <w:tc>
          <w:tcPr>
            <w:tcW w:w="1916"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本科及以上学历</w:t>
            </w:r>
          </w:p>
        </w:tc>
        <w:tc>
          <w:tcPr>
            <w:tcW w:w="1339"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广东深圳</w:t>
            </w:r>
          </w:p>
        </w:tc>
        <w:tc>
          <w:tcPr>
            <w:tcW w:w="1595"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3</w:t>
            </w:r>
          </w:p>
        </w:tc>
        <w:tc>
          <w:tcPr>
            <w:tcW w:w="2792" w:type="dxa"/>
            <w:vMerge w:val="continue"/>
            <w:tcBorders>
              <w:top w:val="nil"/>
              <w:left w:val="nil"/>
              <w:bottom w:val="single" w:color="000000" w:sz="8" w:space="0"/>
              <w:right w:val="single" w:color="000000" w:sz="8" w:space="0"/>
            </w:tcBorders>
            <w:vAlign w:val="center"/>
          </w:tcPr>
          <w:p>
            <w:pPr>
              <w:widowControl/>
              <w:jc w:val="left"/>
              <w:rPr>
                <w:rFonts w:ascii="Arial" w:hAnsi="Arial" w:cs="Arial"/>
                <w:color w:val="000000"/>
                <w:kern w:val="0"/>
                <w:sz w:val="28"/>
                <w:szCs w:val="28"/>
              </w:rPr>
            </w:pPr>
          </w:p>
        </w:tc>
      </w:tr>
      <w:tr>
        <w:tblPrEx>
          <w:tblLayout w:type="fixed"/>
          <w:tblCellMar>
            <w:top w:w="15" w:type="dxa"/>
            <w:left w:w="15" w:type="dxa"/>
            <w:bottom w:w="15" w:type="dxa"/>
            <w:right w:w="15" w:type="dxa"/>
          </w:tblCellMar>
        </w:tblPrEx>
        <w:trPr>
          <w:trHeight w:val="1234" w:hRule="atLeast"/>
        </w:trPr>
        <w:tc>
          <w:tcPr>
            <w:tcW w:w="1585" w:type="dxa"/>
            <w:vMerge w:val="continue"/>
            <w:tcBorders>
              <w:top w:val="nil"/>
              <w:left w:val="single" w:color="000000" w:sz="8" w:space="0"/>
              <w:bottom w:val="single" w:color="000000" w:sz="8" w:space="0"/>
              <w:right w:val="single" w:color="000000" w:sz="8" w:space="0"/>
            </w:tcBorders>
            <w:vAlign w:val="center"/>
          </w:tcPr>
          <w:p>
            <w:pPr>
              <w:widowControl/>
              <w:jc w:val="left"/>
              <w:rPr>
                <w:rFonts w:ascii="Arial" w:hAnsi="Arial" w:cs="Arial"/>
                <w:color w:val="000000"/>
                <w:kern w:val="0"/>
                <w:sz w:val="21"/>
                <w:szCs w:val="21"/>
              </w:rPr>
            </w:pPr>
          </w:p>
        </w:tc>
        <w:tc>
          <w:tcPr>
            <w:tcW w:w="1583"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嵌入式软件开发</w:t>
            </w:r>
          </w:p>
        </w:tc>
        <w:tc>
          <w:tcPr>
            <w:tcW w:w="2300"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left"/>
              <w:textAlignment w:val="center"/>
              <w:rPr>
                <w:rFonts w:ascii="Arial" w:hAnsi="Arial" w:cs="Arial"/>
                <w:color w:val="000000"/>
                <w:kern w:val="0"/>
                <w:sz w:val="21"/>
                <w:szCs w:val="21"/>
              </w:rPr>
            </w:pPr>
            <w:r>
              <w:rPr>
                <w:rFonts w:hint="eastAsia" w:ascii="宋体" w:hAnsi="宋体" w:cs="Arial"/>
                <w:color w:val="000000"/>
                <w:kern w:val="0"/>
                <w:sz w:val="21"/>
                <w:szCs w:val="21"/>
              </w:rPr>
              <w:t>电子、软件开发、单片机相关专业</w:t>
            </w:r>
          </w:p>
        </w:tc>
        <w:tc>
          <w:tcPr>
            <w:tcW w:w="1916"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本科及以上学历</w:t>
            </w:r>
          </w:p>
        </w:tc>
        <w:tc>
          <w:tcPr>
            <w:tcW w:w="1339"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广东深圳</w:t>
            </w:r>
          </w:p>
        </w:tc>
        <w:tc>
          <w:tcPr>
            <w:tcW w:w="1595"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3</w:t>
            </w:r>
          </w:p>
        </w:tc>
        <w:tc>
          <w:tcPr>
            <w:tcW w:w="2792" w:type="dxa"/>
            <w:vMerge w:val="continue"/>
            <w:tcBorders>
              <w:top w:val="nil"/>
              <w:left w:val="nil"/>
              <w:bottom w:val="single" w:color="000000" w:sz="8" w:space="0"/>
              <w:right w:val="single" w:color="000000" w:sz="8" w:space="0"/>
            </w:tcBorders>
            <w:vAlign w:val="center"/>
          </w:tcPr>
          <w:p>
            <w:pPr>
              <w:widowControl/>
              <w:jc w:val="left"/>
              <w:rPr>
                <w:rFonts w:ascii="Arial" w:hAnsi="Arial" w:cs="Arial"/>
                <w:color w:val="000000"/>
                <w:kern w:val="0"/>
                <w:sz w:val="28"/>
                <w:szCs w:val="28"/>
              </w:rPr>
            </w:pPr>
          </w:p>
        </w:tc>
      </w:tr>
      <w:tr>
        <w:tblPrEx>
          <w:tblLayout w:type="fixed"/>
          <w:tblCellMar>
            <w:top w:w="15" w:type="dxa"/>
            <w:left w:w="15" w:type="dxa"/>
            <w:bottom w:w="15" w:type="dxa"/>
            <w:right w:w="15" w:type="dxa"/>
          </w:tblCellMar>
        </w:tblPrEx>
        <w:trPr>
          <w:trHeight w:val="985" w:hRule="atLeast"/>
        </w:trPr>
        <w:tc>
          <w:tcPr>
            <w:tcW w:w="1585" w:type="dxa"/>
            <w:tcBorders>
              <w:top w:val="nil"/>
              <w:left w:val="single" w:color="000000" w:sz="8" w:space="0"/>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质量类</w:t>
            </w:r>
          </w:p>
        </w:tc>
        <w:tc>
          <w:tcPr>
            <w:tcW w:w="1583"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质量工程师</w:t>
            </w:r>
          </w:p>
        </w:tc>
        <w:tc>
          <w:tcPr>
            <w:tcW w:w="2300"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left"/>
              <w:textAlignment w:val="center"/>
              <w:rPr>
                <w:rFonts w:ascii="Arial" w:hAnsi="Arial" w:cs="Arial"/>
                <w:color w:val="000000"/>
                <w:kern w:val="0"/>
                <w:sz w:val="21"/>
                <w:szCs w:val="21"/>
              </w:rPr>
            </w:pPr>
            <w:r>
              <w:rPr>
                <w:rFonts w:hint="eastAsia" w:ascii="宋体" w:hAnsi="宋体" w:cs="Arial"/>
                <w:color w:val="000000"/>
                <w:kern w:val="0"/>
                <w:sz w:val="21"/>
                <w:szCs w:val="21"/>
              </w:rPr>
              <w:t>理工科相关专业</w:t>
            </w:r>
          </w:p>
        </w:tc>
        <w:tc>
          <w:tcPr>
            <w:tcW w:w="1916"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本科及以上学历</w:t>
            </w:r>
          </w:p>
        </w:tc>
        <w:tc>
          <w:tcPr>
            <w:tcW w:w="1339"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广东深圳</w:t>
            </w:r>
          </w:p>
        </w:tc>
        <w:tc>
          <w:tcPr>
            <w:tcW w:w="1595" w:type="dxa"/>
            <w:tcBorders>
              <w:top w:val="nil"/>
              <w:left w:val="nil"/>
              <w:bottom w:val="single" w:color="000000" w:sz="8" w:space="0"/>
              <w:right w:val="single" w:color="000000" w:sz="8" w:space="0"/>
            </w:tcBorders>
            <w:shd w:val="clear" w:color="auto" w:fill="auto"/>
            <w:tcMar>
              <w:top w:w="19" w:type="dxa"/>
              <w:left w:w="19" w:type="dxa"/>
              <w:bottom w:w="19" w:type="dxa"/>
              <w:right w:w="19" w:type="dxa"/>
            </w:tcMar>
            <w:vAlign w:val="center"/>
          </w:tcPr>
          <w:p>
            <w:pPr>
              <w:widowControl/>
              <w:jc w:val="center"/>
              <w:textAlignment w:val="center"/>
              <w:rPr>
                <w:rFonts w:ascii="Arial" w:hAnsi="Arial" w:cs="Arial"/>
                <w:color w:val="000000"/>
                <w:kern w:val="0"/>
                <w:sz w:val="21"/>
                <w:szCs w:val="21"/>
              </w:rPr>
            </w:pPr>
            <w:r>
              <w:rPr>
                <w:rFonts w:hint="eastAsia" w:ascii="宋体" w:hAnsi="宋体" w:cs="Arial"/>
                <w:color w:val="000000"/>
                <w:kern w:val="0"/>
                <w:sz w:val="21"/>
                <w:szCs w:val="21"/>
              </w:rPr>
              <w:t>3</w:t>
            </w:r>
          </w:p>
        </w:tc>
        <w:tc>
          <w:tcPr>
            <w:tcW w:w="2792" w:type="dxa"/>
            <w:vMerge w:val="continue"/>
            <w:tcBorders>
              <w:top w:val="nil"/>
              <w:left w:val="nil"/>
              <w:bottom w:val="single" w:color="000000" w:sz="8" w:space="0"/>
              <w:right w:val="single" w:color="000000" w:sz="8" w:space="0"/>
            </w:tcBorders>
            <w:vAlign w:val="center"/>
          </w:tcPr>
          <w:p>
            <w:pPr>
              <w:widowControl/>
              <w:jc w:val="left"/>
              <w:rPr>
                <w:rFonts w:ascii="Arial" w:hAnsi="Arial" w:cs="Arial"/>
                <w:color w:val="000000"/>
                <w:kern w:val="0"/>
                <w:sz w:val="28"/>
                <w:szCs w:val="28"/>
              </w:rPr>
            </w:pPr>
          </w:p>
        </w:tc>
      </w:tr>
    </w:tbl>
    <w:p>
      <w:pPr>
        <w:widowControl/>
        <w:spacing w:before="94" w:after="94"/>
        <w:jc w:val="left"/>
        <w:textAlignment w:val="center"/>
        <w:rPr>
          <w:rFonts w:ascii="Arial" w:hAnsi="Arial" w:cs="Arial"/>
          <w:color w:val="000000"/>
          <w:kern w:val="0"/>
          <w:sz w:val="30"/>
          <w:szCs w:val="30"/>
        </w:rPr>
      </w:pPr>
      <w:r>
        <w:rPr>
          <w:rFonts w:hint="eastAsia" w:ascii="宋体" w:hAnsi="宋体" w:cs="Arial"/>
          <w:b/>
          <w:bCs/>
          <w:color w:val="000000"/>
          <w:kern w:val="0"/>
          <w:sz w:val="28"/>
          <w:szCs w:val="28"/>
        </w:rPr>
        <w:t>三、福利待遇</w:t>
      </w:r>
    </w:p>
    <w:p>
      <w:pPr>
        <w:widowControl/>
        <w:numPr>
          <w:ilvl w:val="0"/>
          <w:numId w:val="1"/>
        </w:numPr>
        <w:spacing w:before="240" w:after="240" w:line="617" w:lineRule="atLeast"/>
        <w:ind w:left="0"/>
        <w:jc w:val="left"/>
        <w:rPr>
          <w:rFonts w:ascii="宋体" w:hAnsi="宋体" w:cs="Arial"/>
          <w:color w:val="000000"/>
          <w:kern w:val="0"/>
          <w:sz w:val="24"/>
          <w:szCs w:val="24"/>
        </w:rPr>
      </w:pPr>
      <w:r>
        <w:rPr>
          <w:rFonts w:hint="eastAsia" w:ascii="宋体" w:hAnsi="宋体" w:cs="宋体"/>
          <w:color w:val="000000"/>
          <w:kern w:val="0"/>
          <w:sz w:val="24"/>
          <w:szCs w:val="24"/>
        </w:rPr>
        <w:t>公司计薪方式：固定月薪</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3500-5000</w:t>
      </w:r>
      <w:r>
        <w:rPr>
          <w:rFonts w:hint="eastAsia" w:ascii="宋体" w:hAnsi="宋体" w:cs="宋体"/>
          <w:color w:val="000000"/>
          <w:kern w:val="0"/>
          <w:sz w:val="24"/>
          <w:szCs w:val="24"/>
          <w:lang w:eastAsia="zh-CN"/>
        </w:rPr>
        <w:t>）</w:t>
      </w:r>
      <w:r>
        <w:rPr>
          <w:rFonts w:hint="eastAsia" w:ascii="宋体" w:hAnsi="宋体" w:cs="Arial"/>
          <w:color w:val="000000"/>
          <w:kern w:val="0"/>
          <w:sz w:val="24"/>
          <w:szCs w:val="24"/>
        </w:rPr>
        <w:t>+年终奖（视公司经营情况而定，基本保证1个月），项目技术成员享有额外的项目奖金，部分岗位享有绩效奖金；</w:t>
      </w:r>
      <w:r>
        <w:rPr>
          <w:rFonts w:ascii="宋体" w:hAnsi="宋体" w:cs="Arial"/>
          <w:color w:val="000000"/>
          <w:kern w:val="0"/>
          <w:sz w:val="24"/>
          <w:szCs w:val="24"/>
        </w:rPr>
        <w:t xml:space="preserve"> </w:t>
      </w:r>
    </w:p>
    <w:p>
      <w:pPr>
        <w:widowControl/>
        <w:numPr>
          <w:ilvl w:val="0"/>
          <w:numId w:val="1"/>
        </w:numPr>
        <w:spacing w:before="240" w:after="240" w:line="617" w:lineRule="atLeast"/>
        <w:ind w:left="0"/>
        <w:jc w:val="left"/>
        <w:rPr>
          <w:rFonts w:hint="eastAsia" w:ascii="宋体" w:hAnsi="宋体" w:cs="Arial"/>
          <w:color w:val="000000"/>
          <w:kern w:val="0"/>
          <w:sz w:val="24"/>
          <w:szCs w:val="24"/>
        </w:rPr>
      </w:pPr>
      <w:r>
        <w:rPr>
          <w:rFonts w:hint="eastAsia" w:ascii="宋体" w:hAnsi="宋体" w:cs="Arial"/>
          <w:color w:val="000000"/>
          <w:kern w:val="0"/>
          <w:sz w:val="24"/>
          <w:szCs w:val="24"/>
        </w:rPr>
        <w:t>入职签订《劳动合同》，依法为每位员工购买五险一金，居住证；</w:t>
      </w:r>
    </w:p>
    <w:p>
      <w:pPr>
        <w:widowControl/>
        <w:numPr>
          <w:ilvl w:val="0"/>
          <w:numId w:val="1"/>
        </w:numPr>
        <w:spacing w:before="240" w:after="240" w:line="617" w:lineRule="atLeast"/>
        <w:ind w:left="0"/>
        <w:jc w:val="left"/>
        <w:rPr>
          <w:rFonts w:hint="eastAsia" w:ascii="宋体" w:hAnsi="宋体" w:cs="Arial"/>
          <w:color w:val="000000"/>
          <w:kern w:val="0"/>
          <w:sz w:val="24"/>
          <w:szCs w:val="24"/>
        </w:rPr>
      </w:pPr>
      <w:r>
        <w:rPr>
          <w:rFonts w:hint="eastAsia" w:ascii="宋体" w:hAnsi="宋体" w:cs="Arial"/>
          <w:color w:val="000000"/>
          <w:kern w:val="0"/>
          <w:sz w:val="24"/>
          <w:szCs w:val="24"/>
        </w:rPr>
        <w:t>公司免费提供住宿，宿舍有热水器、阳台，标准间为4人/间；</w:t>
      </w:r>
    </w:p>
    <w:p>
      <w:pPr>
        <w:widowControl/>
        <w:numPr>
          <w:ilvl w:val="0"/>
          <w:numId w:val="1"/>
        </w:numPr>
        <w:spacing w:before="240" w:after="240" w:line="617" w:lineRule="atLeast"/>
        <w:ind w:left="0"/>
        <w:jc w:val="left"/>
        <w:rPr>
          <w:rFonts w:hint="eastAsia" w:ascii="宋体" w:hAnsi="宋体" w:cs="Arial"/>
          <w:color w:val="000000"/>
          <w:kern w:val="0"/>
          <w:sz w:val="24"/>
          <w:szCs w:val="24"/>
        </w:rPr>
      </w:pPr>
      <w:r>
        <w:rPr>
          <w:rFonts w:hint="eastAsia" w:ascii="宋体" w:hAnsi="宋体" w:cs="Arial"/>
          <w:color w:val="000000"/>
          <w:kern w:val="0"/>
          <w:sz w:val="24"/>
          <w:szCs w:val="24"/>
        </w:rPr>
        <w:t>公司享有国家法定节假日、工伤假、婚假、丧假、产假、病假、带薪年假等假期；</w:t>
      </w:r>
    </w:p>
    <w:p>
      <w:pPr>
        <w:widowControl/>
        <w:numPr>
          <w:ilvl w:val="0"/>
          <w:numId w:val="1"/>
        </w:numPr>
        <w:spacing w:before="240" w:after="240" w:line="617" w:lineRule="atLeast"/>
        <w:ind w:left="0"/>
        <w:jc w:val="left"/>
        <w:rPr>
          <w:rFonts w:hint="eastAsia" w:ascii="宋体" w:hAnsi="宋体" w:cs="Arial"/>
          <w:color w:val="000000"/>
          <w:kern w:val="0"/>
          <w:sz w:val="24"/>
          <w:szCs w:val="24"/>
        </w:rPr>
      </w:pPr>
      <w:r>
        <w:rPr>
          <w:rFonts w:hint="eastAsia" w:ascii="宋体" w:hAnsi="宋体" w:cs="Arial"/>
          <w:color w:val="000000"/>
          <w:kern w:val="0"/>
          <w:sz w:val="24"/>
          <w:szCs w:val="24"/>
        </w:rPr>
        <w:t>为丰富员工生活，公司定期组织员工生日会、篮球赛、38妇女节、公司年会等集体活动；</w:t>
      </w:r>
    </w:p>
    <w:p>
      <w:pPr>
        <w:widowControl/>
        <w:numPr>
          <w:ilvl w:val="0"/>
          <w:numId w:val="1"/>
        </w:numPr>
        <w:spacing w:before="240" w:after="240" w:line="617" w:lineRule="atLeast"/>
        <w:ind w:left="0"/>
        <w:jc w:val="left"/>
        <w:rPr>
          <w:rFonts w:hint="eastAsia" w:ascii="宋体" w:hAnsi="宋体" w:cs="Arial"/>
          <w:color w:val="000000"/>
          <w:kern w:val="0"/>
          <w:sz w:val="24"/>
          <w:szCs w:val="24"/>
        </w:rPr>
      </w:pPr>
      <w:r>
        <w:rPr>
          <w:rFonts w:hint="eastAsia" w:ascii="宋体" w:hAnsi="宋体" w:cs="Arial"/>
          <w:color w:val="000000"/>
          <w:kern w:val="0"/>
          <w:sz w:val="24"/>
          <w:szCs w:val="24"/>
        </w:rPr>
        <w:t>为支持部门团建活动，部门享有一定的活动经费；</w:t>
      </w:r>
    </w:p>
    <w:p>
      <w:pPr>
        <w:widowControl/>
        <w:numPr>
          <w:ilvl w:val="0"/>
          <w:numId w:val="1"/>
        </w:numPr>
        <w:spacing w:before="240" w:after="240" w:line="617" w:lineRule="atLeast"/>
        <w:ind w:left="0"/>
        <w:jc w:val="left"/>
        <w:rPr>
          <w:rFonts w:hint="eastAsia" w:ascii="宋体" w:hAnsi="宋体" w:cs="Arial"/>
          <w:color w:val="000000"/>
          <w:kern w:val="0"/>
          <w:sz w:val="24"/>
          <w:szCs w:val="24"/>
        </w:rPr>
      </w:pPr>
      <w:r>
        <w:rPr>
          <w:rFonts w:hint="eastAsia" w:ascii="宋体" w:hAnsi="宋体" w:cs="Arial"/>
          <w:color w:val="000000"/>
          <w:kern w:val="0"/>
          <w:sz w:val="24"/>
          <w:szCs w:val="24"/>
        </w:rPr>
        <w:t>公司提供完善的内外部岗前及在职培训；</w:t>
      </w:r>
    </w:p>
    <w:p>
      <w:pPr>
        <w:widowControl/>
        <w:numPr>
          <w:ilvl w:val="0"/>
          <w:numId w:val="1"/>
        </w:numPr>
        <w:spacing w:before="240" w:after="240" w:line="617" w:lineRule="atLeast"/>
        <w:ind w:left="0"/>
        <w:jc w:val="left"/>
        <w:rPr>
          <w:rFonts w:hint="eastAsia" w:ascii="宋体" w:hAnsi="宋体" w:cs="Arial"/>
          <w:color w:val="000000"/>
          <w:kern w:val="0"/>
          <w:sz w:val="24"/>
          <w:szCs w:val="24"/>
        </w:rPr>
      </w:pPr>
      <w:r>
        <w:rPr>
          <w:rFonts w:hint="eastAsia" w:ascii="宋体" w:hAnsi="宋体" w:cs="Arial"/>
          <w:color w:val="000000"/>
          <w:kern w:val="0"/>
          <w:sz w:val="24"/>
          <w:szCs w:val="24"/>
        </w:rPr>
        <w:t>公司地址位于深职院附近，地段繁华，交通便利，地理位置优越（深圳地铁5号线、7号线）。</w:t>
      </w:r>
    </w:p>
    <w:p>
      <w:pPr>
        <w:widowControl/>
        <w:jc w:val="left"/>
        <w:rPr>
          <w:rFonts w:hint="eastAsia" w:ascii="Arial" w:hAnsi="Arial" w:cs="Arial"/>
          <w:color w:val="000000"/>
          <w:kern w:val="0"/>
          <w:sz w:val="30"/>
          <w:szCs w:val="30"/>
        </w:rPr>
      </w:pPr>
      <w:r>
        <w:rPr>
          <w:rFonts w:hint="eastAsia" w:ascii="宋体" w:hAnsi="宋体" w:cs="Arial"/>
          <w:b/>
          <w:bCs/>
          <w:color w:val="000000"/>
          <w:kern w:val="0"/>
          <w:sz w:val="67"/>
        </w:rPr>
        <w:t>四、联系方式：</w:t>
      </w:r>
    </w:p>
    <w:p>
      <w:pPr>
        <w:widowControl/>
        <w:jc w:val="left"/>
        <w:rPr>
          <w:rFonts w:ascii="Arial" w:hAnsi="Arial" w:cs="Arial"/>
          <w:color w:val="000000"/>
          <w:kern w:val="0"/>
          <w:sz w:val="30"/>
          <w:szCs w:val="30"/>
        </w:rPr>
      </w:pPr>
      <w:r>
        <w:rPr>
          <w:rFonts w:hint="eastAsia" w:ascii="宋体" w:hAnsi="宋体" w:cs="Arial"/>
          <w:color w:val="000000"/>
          <w:kern w:val="0"/>
          <w:sz w:val="24"/>
          <w:szCs w:val="24"/>
        </w:rPr>
        <w:t>联 系 人：</w:t>
      </w:r>
      <w:r>
        <w:rPr>
          <w:rFonts w:hint="eastAsia" w:ascii="宋体" w:hAnsi="宋体" w:cs="Arial"/>
          <w:color w:val="000000"/>
          <w:kern w:val="0"/>
          <w:sz w:val="24"/>
          <w:szCs w:val="24"/>
          <w:lang w:val="en-US" w:eastAsia="zh-CN"/>
        </w:rPr>
        <w:t>蔡</w:t>
      </w:r>
      <w:r>
        <w:rPr>
          <w:rFonts w:hint="eastAsia" w:ascii="宋体" w:hAnsi="宋体" w:cs="Arial"/>
          <w:color w:val="000000"/>
          <w:kern w:val="0"/>
          <w:sz w:val="24"/>
          <w:szCs w:val="24"/>
        </w:rPr>
        <w:t>小姐</w:t>
      </w:r>
    </w:p>
    <w:p>
      <w:pPr>
        <w:spacing w:beforeLines="0" w:afterLines="0"/>
        <w:jc w:val="left"/>
        <w:rPr>
          <w:rFonts w:hint="eastAsia" w:ascii="宋体" w:hAnsi="宋体"/>
          <w:sz w:val="26"/>
          <w:lang w:val="zh-CN"/>
        </w:rPr>
      </w:pPr>
      <w:r>
        <w:rPr>
          <w:rFonts w:hint="eastAsia" w:ascii="宋体" w:hAnsi="宋体" w:cs="Arial"/>
          <w:color w:val="000000"/>
          <w:kern w:val="0"/>
          <w:sz w:val="24"/>
          <w:szCs w:val="24"/>
        </w:rPr>
        <w:t>联系电话：</w:t>
      </w:r>
      <w:r>
        <w:rPr>
          <w:rFonts w:hint="eastAsia" w:ascii="宋体" w:hAnsi="宋体"/>
          <w:sz w:val="26"/>
          <w:lang w:val="zh-CN"/>
        </w:rPr>
        <w:t>13078845853</w:t>
      </w:r>
    </w:p>
    <w:p>
      <w:pPr>
        <w:spacing w:beforeLines="0" w:afterLines="0"/>
        <w:jc w:val="left"/>
        <w:rPr>
          <w:rFonts w:hint="eastAsia" w:ascii="宋体" w:hAnsi="宋体" w:cs="Arial"/>
          <w:color w:val="000000"/>
          <w:kern w:val="0"/>
          <w:sz w:val="24"/>
          <w:szCs w:val="24"/>
        </w:rPr>
      </w:pPr>
      <w:r>
        <w:rPr>
          <w:rFonts w:hint="eastAsia" w:ascii="宋体" w:hAnsi="宋体" w:cs="Arial"/>
          <w:color w:val="000000"/>
          <w:kern w:val="0"/>
          <w:sz w:val="24"/>
          <w:szCs w:val="24"/>
          <w:lang w:val="en-US" w:eastAsia="zh-CN"/>
        </w:rPr>
        <w:t>简历投递</w:t>
      </w:r>
      <w:r>
        <w:rPr>
          <w:rFonts w:hint="eastAsia" w:ascii="宋体" w:hAnsi="宋体" w:cs="Arial"/>
          <w:color w:val="000000"/>
          <w:kern w:val="0"/>
          <w:sz w:val="24"/>
          <w:szCs w:val="24"/>
        </w:rPr>
        <w:t>邮箱：</w:t>
      </w:r>
      <w:r>
        <w:rPr>
          <w:rFonts w:hint="eastAsia" w:ascii="宋体" w:hAnsi="宋体" w:cs="Arial"/>
          <w:color w:val="000000"/>
          <w:kern w:val="0"/>
          <w:sz w:val="28"/>
          <w:szCs w:val="28"/>
        </w:rPr>
        <w:t>szhzy@netui.cn</w:t>
      </w:r>
    </w:p>
    <w:p>
      <w:pPr>
        <w:widowControl/>
        <w:jc w:val="left"/>
        <w:rPr>
          <w:rFonts w:ascii="Arial" w:hAnsi="Arial" w:cs="Arial"/>
          <w:color w:val="000000"/>
          <w:kern w:val="0"/>
          <w:sz w:val="30"/>
          <w:szCs w:val="30"/>
        </w:rPr>
      </w:pPr>
      <w:r>
        <w:rPr>
          <w:rFonts w:hint="eastAsia" w:ascii="宋体" w:hAnsi="宋体" w:cs="Arial"/>
          <w:color w:val="000000"/>
          <w:kern w:val="0"/>
          <w:sz w:val="24"/>
          <w:szCs w:val="24"/>
        </w:rPr>
        <w:t>联系地址：深圳市南山区西丽镇官龙村第一工业区C栋</w:t>
      </w:r>
      <w:bookmarkStart w:id="0" w:name="_GoBack"/>
      <w:bookmarkEnd w:id="0"/>
    </w:p>
    <w:p>
      <w:pPr>
        <w:pStyle w:val="22"/>
        <w:autoSpaceDE w:val="0"/>
        <w:autoSpaceDN w:val="0"/>
        <w:adjustRightInd w:val="0"/>
        <w:spacing w:line="480" w:lineRule="auto"/>
        <w:ind w:left="720" w:firstLine="0" w:firstLineChars="0"/>
        <w:rPr>
          <w:rFonts w:ascii="宋体" w:hAnsi="宋体" w:cs="Arial"/>
          <w:b/>
          <w:bCs/>
          <w:color w:val="000000"/>
          <w:sz w:val="30"/>
          <w:szCs w:val="30"/>
          <w:u w:val="single"/>
        </w:rPr>
      </w:pPr>
    </w:p>
    <w:sectPr>
      <w:headerReference r:id="rId3" w:type="default"/>
      <w:footerReference r:id="rId4" w:type="default"/>
      <w:pgSz w:w="16839" w:h="23814"/>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9"/>
      </w:rPr>
    </w:pPr>
    <w:r>
      <w:fldChar w:fldCharType="begin"/>
    </w:r>
    <w:r>
      <w:rPr>
        <w:rStyle w:val="19"/>
      </w:rPr>
      <w:instrText xml:space="preserve">PAGE  </w:instrText>
    </w:r>
    <w:r>
      <w:fldChar w:fldCharType="separate"/>
    </w:r>
    <w:r>
      <w:rPr>
        <w:rStyle w:val="19"/>
      </w:rPr>
      <w:t>2</w:t>
    </w:r>
    <w:r>
      <w:fldChar w:fldCharType="end"/>
    </w:r>
  </w:p>
  <w:p>
    <w:pPr>
      <w:pStyle w:val="3"/>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134"/>
      </w:tabs>
    </w:pPr>
    <w:r>
      <w:drawing>
        <wp:inline distT="0" distB="0" distL="0" distR="0">
          <wp:extent cx="6483985" cy="772160"/>
          <wp:effectExtent l="19050" t="0" r="0" b="0"/>
          <wp:docPr id="5" name="图片 5" descr="LOGO（深圳恒之源技术股份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深圳恒之源技术股份有限公司）"/>
                  <pic:cNvPicPr>
                    <a:picLocks noChangeAspect="1" noChangeArrowheads="1"/>
                  </pic:cNvPicPr>
                </pic:nvPicPr>
                <pic:blipFill>
                  <a:blip r:embed="rId1"/>
                  <a:srcRect/>
                  <a:stretch>
                    <a:fillRect/>
                  </a:stretch>
                </pic:blipFill>
                <pic:spPr>
                  <a:xfrm>
                    <a:off x="0" y="0"/>
                    <a:ext cx="6483985" cy="7721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00DD0"/>
    <w:multiLevelType w:val="multilevel"/>
    <w:tmpl w:val="4BF00DD0"/>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28"/>
    <w:rsid w:val="00066A2A"/>
    <w:rsid w:val="00104302"/>
    <w:rsid w:val="00120051"/>
    <w:rsid w:val="00172A27"/>
    <w:rsid w:val="001A57E5"/>
    <w:rsid w:val="001A76F4"/>
    <w:rsid w:val="00242764"/>
    <w:rsid w:val="003007FC"/>
    <w:rsid w:val="003406BB"/>
    <w:rsid w:val="00347FBA"/>
    <w:rsid w:val="003A4448"/>
    <w:rsid w:val="003E3CCD"/>
    <w:rsid w:val="00453709"/>
    <w:rsid w:val="00457FA0"/>
    <w:rsid w:val="00477FE3"/>
    <w:rsid w:val="004B1459"/>
    <w:rsid w:val="004D143D"/>
    <w:rsid w:val="004F6EC1"/>
    <w:rsid w:val="0052239D"/>
    <w:rsid w:val="005675E7"/>
    <w:rsid w:val="005735DD"/>
    <w:rsid w:val="005F47EA"/>
    <w:rsid w:val="005F6ABE"/>
    <w:rsid w:val="006130A6"/>
    <w:rsid w:val="006173E6"/>
    <w:rsid w:val="00667D06"/>
    <w:rsid w:val="006E7BEA"/>
    <w:rsid w:val="007767C1"/>
    <w:rsid w:val="007965EB"/>
    <w:rsid w:val="007B76CE"/>
    <w:rsid w:val="007C43D5"/>
    <w:rsid w:val="00836D7A"/>
    <w:rsid w:val="00864DC6"/>
    <w:rsid w:val="008D39B4"/>
    <w:rsid w:val="009C7F7B"/>
    <w:rsid w:val="009E7016"/>
    <w:rsid w:val="00A348A6"/>
    <w:rsid w:val="00A374C5"/>
    <w:rsid w:val="00AA7A2E"/>
    <w:rsid w:val="00AE6161"/>
    <w:rsid w:val="00BA6567"/>
    <w:rsid w:val="00BE5C91"/>
    <w:rsid w:val="00C50901"/>
    <w:rsid w:val="00C64276"/>
    <w:rsid w:val="00CA26AE"/>
    <w:rsid w:val="00CD3ED4"/>
    <w:rsid w:val="00CE0B74"/>
    <w:rsid w:val="00CE4ACB"/>
    <w:rsid w:val="00CF3D91"/>
    <w:rsid w:val="00D67384"/>
    <w:rsid w:val="00D86FD3"/>
    <w:rsid w:val="00DC54B5"/>
    <w:rsid w:val="00DC7E6F"/>
    <w:rsid w:val="00E22916"/>
    <w:rsid w:val="00E63595"/>
    <w:rsid w:val="00E846EA"/>
    <w:rsid w:val="00F15B63"/>
    <w:rsid w:val="00F736A9"/>
    <w:rsid w:val="00FC022D"/>
    <w:rsid w:val="00FF2A8C"/>
    <w:rsid w:val="0AF67B8B"/>
    <w:rsid w:val="0CE20630"/>
    <w:rsid w:val="11DE6AE0"/>
    <w:rsid w:val="1D1073BE"/>
    <w:rsid w:val="20D10F28"/>
    <w:rsid w:val="297D32E2"/>
    <w:rsid w:val="29DD1C5F"/>
    <w:rsid w:val="2F8F50FE"/>
    <w:rsid w:val="33252519"/>
    <w:rsid w:val="389546A9"/>
    <w:rsid w:val="413C2B64"/>
    <w:rsid w:val="45B10EE7"/>
    <w:rsid w:val="4B872F5B"/>
    <w:rsid w:val="5510701F"/>
    <w:rsid w:val="5F0C077E"/>
    <w:rsid w:val="67A0618E"/>
    <w:rsid w:val="68755D6F"/>
    <w:rsid w:val="6FDC4815"/>
    <w:rsid w:val="7BA01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uiPriority="99"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20"/>
    <w:semiHidden/>
    <w:unhideWhenUsed/>
    <w:uiPriority w:val="99"/>
    <w:rPr>
      <w:sz w:val="18"/>
      <w:szCs w:val="18"/>
    </w:r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character" w:styleId="8">
    <w:name w:val="page number"/>
    <w:basedOn w:val="6"/>
    <w:unhideWhenUsed/>
    <w:qFormat/>
    <w:uiPriority w:val="99"/>
  </w:style>
  <w:style w:type="character" w:styleId="9">
    <w:name w:val="Hyperlink"/>
    <w:basedOn w:val="6"/>
    <w:qFormat/>
    <w:uiPriority w:val="0"/>
    <w:rPr>
      <w:color w:val="0000FF"/>
      <w:u w:val="single"/>
    </w:rPr>
  </w:style>
  <w:style w:type="paragraph" w:customStyle="1" w:styleId="11">
    <w:name w:val="正文文本缩进1"/>
    <w:basedOn w:val="1"/>
    <w:link w:val="15"/>
    <w:qFormat/>
    <w:uiPriority w:val="0"/>
    <w:pPr>
      <w:spacing w:line="360" w:lineRule="auto"/>
      <w:ind w:firstLine="570"/>
    </w:pPr>
  </w:style>
  <w:style w:type="paragraph" w:customStyle="1" w:styleId="12">
    <w:name w:val="批注框文本 Char Char"/>
    <w:basedOn w:val="1"/>
    <w:link w:val="18"/>
    <w:qFormat/>
    <w:uiPriority w:val="0"/>
    <w:rPr>
      <w:sz w:val="18"/>
      <w:szCs w:val="18"/>
    </w:rPr>
  </w:style>
  <w:style w:type="paragraph" w:customStyle="1" w:styleId="13">
    <w:name w:val="Char"/>
    <w:basedOn w:val="1"/>
    <w:qFormat/>
    <w:uiPriority w:val="0"/>
    <w:pPr>
      <w:widowControl/>
      <w:spacing w:after="160" w:line="240" w:lineRule="exact"/>
      <w:jc w:val="left"/>
    </w:pPr>
  </w:style>
  <w:style w:type="paragraph" w:customStyle="1" w:styleId="14">
    <w:name w:val="列出段落1"/>
    <w:basedOn w:val="1"/>
    <w:qFormat/>
    <w:uiPriority w:val="0"/>
    <w:pPr>
      <w:ind w:firstLine="420" w:firstLineChars="200"/>
    </w:pPr>
    <w:rPr>
      <w:szCs w:val="24"/>
    </w:rPr>
  </w:style>
  <w:style w:type="character" w:customStyle="1" w:styleId="15">
    <w:name w:val="正文文本缩进 Char"/>
    <w:basedOn w:val="6"/>
    <w:link w:val="11"/>
    <w:semiHidden/>
    <w:qFormat/>
    <w:uiPriority w:val="0"/>
    <w:rPr>
      <w:sz w:val="21"/>
      <w:szCs w:val="21"/>
    </w:rPr>
  </w:style>
  <w:style w:type="character" w:customStyle="1" w:styleId="16">
    <w:name w:val="页脚 Char"/>
    <w:basedOn w:val="6"/>
    <w:link w:val="3"/>
    <w:semiHidden/>
    <w:uiPriority w:val="0"/>
    <w:rPr>
      <w:sz w:val="18"/>
      <w:szCs w:val="18"/>
    </w:rPr>
  </w:style>
  <w:style w:type="character" w:customStyle="1" w:styleId="17">
    <w:name w:val="页眉 Char"/>
    <w:basedOn w:val="6"/>
    <w:link w:val="4"/>
    <w:semiHidden/>
    <w:uiPriority w:val="0"/>
    <w:rPr>
      <w:sz w:val="18"/>
      <w:szCs w:val="18"/>
    </w:rPr>
  </w:style>
  <w:style w:type="character" w:customStyle="1" w:styleId="18">
    <w:name w:val="批注框文本 Char Char Char Char"/>
    <w:basedOn w:val="6"/>
    <w:link w:val="12"/>
    <w:semiHidden/>
    <w:uiPriority w:val="0"/>
    <w:rPr>
      <w:kern w:val="2"/>
      <w:sz w:val="18"/>
      <w:szCs w:val="18"/>
    </w:rPr>
  </w:style>
  <w:style w:type="character" w:customStyle="1" w:styleId="19">
    <w:name w:val="页码1"/>
    <w:basedOn w:val="6"/>
    <w:qFormat/>
    <w:uiPriority w:val="0"/>
  </w:style>
  <w:style w:type="character" w:customStyle="1" w:styleId="20">
    <w:name w:val="批注框文本 Char"/>
    <w:basedOn w:val="6"/>
    <w:link w:val="2"/>
    <w:semiHidden/>
    <w:qFormat/>
    <w:uiPriority w:val="99"/>
    <w:rPr>
      <w:kern w:val="2"/>
      <w:sz w:val="18"/>
      <w:szCs w:val="18"/>
    </w:rPr>
  </w:style>
  <w:style w:type="paragraph" w:customStyle="1" w:styleId="21">
    <w:name w:val="p0"/>
    <w:basedOn w:val="1"/>
    <w:qFormat/>
    <w:uiPriority w:val="0"/>
    <w:pPr>
      <w:widowControl/>
    </w:pPr>
    <w:rPr>
      <w:rFonts w:ascii="Calibri" w:hAnsi="Calibri"/>
      <w:kern w:val="0"/>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tmco</Company>
  <Pages>2</Pages>
  <Words>207</Words>
  <Characters>1182</Characters>
  <Lines>9</Lines>
  <Paragraphs>2</Paragraphs>
  <TotalTime>4</TotalTime>
  <ScaleCrop>false</ScaleCrop>
  <LinksUpToDate>false</LinksUpToDate>
  <CharactersWithSpaces>1387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2019-02-28T06:27:00Z</dcterms:created>
  <dc:creator>王博龙</dc:creator>
  <cp:lastModifiedBy></cp:lastModifiedBy>
  <cp:lastPrinted>2013-11-13T01:32:00Z</cp:lastPrinted>
  <dcterms:modified xsi:type="dcterms:W3CDTF">2019-02-28T08:04:39Z</dcterms:modified>
  <dc:title>兵马俑留念</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