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snapToGrid w:val="0"/>
          <w:spacing w:val="-22"/>
          <w:kern w:val="0"/>
          <w:sz w:val="90"/>
          <w:szCs w:val="90"/>
        </w:rPr>
      </w:pPr>
    </w:p>
    <w:p>
      <w:pPr>
        <w:rPr>
          <w:rFonts w:ascii="Times New Roman" w:hAnsi="Times New Roman" w:eastAsia="宋体" w:cs="Times New Roman"/>
          <w:b/>
          <w:snapToGrid w:val="0"/>
          <w:color w:val="FF0000"/>
          <w:spacing w:val="-22"/>
          <w:kern w:val="0"/>
          <w:sz w:val="90"/>
          <w:szCs w:val="90"/>
        </w:rPr>
      </w:pPr>
    </w:p>
    <w:p>
      <w:pPr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napToGrid w:val="0"/>
          <w:color w:val="FF0000"/>
          <w:spacing w:val="-22"/>
          <w:kern w:val="0"/>
          <w:sz w:val="90"/>
          <w:szCs w:val="90"/>
        </w:rPr>
        <w:t>三明学院教务处文件</w:t>
      </w:r>
    </w:p>
    <w:p>
      <w:pPr>
        <w:jc w:val="center"/>
        <w:rPr>
          <w:rFonts w:ascii="Times New Roman" w:hAnsi="Times New Roman" w:eastAsia="仿宋_GB2312" w:cs="Times New Roman"/>
          <w:spacing w:val="-1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pacing w:val="-10"/>
          <w:sz w:val="32"/>
          <w:szCs w:val="24"/>
        </w:rPr>
        <w:t>明学院教字〔2020〕12号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99695</wp:posOffset>
                </wp:positionV>
                <wp:extent cx="562927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pt;margin-top:7.85pt;height:0pt;width:443.25pt;z-index:251659264;mso-width-relative:page;mso-height-relative:page;" filled="f" stroked="t" coordsize="21600,21600" o:gfxdata="UEsDBAoAAAAAAIdO4kAAAAAAAAAAAAAAAAAEAAAAZHJzL1BLAwQUAAAACACHTuJAtUU7T9sAAAAJ&#10;AQAADwAAAGRycy9kb3ducmV2LnhtbE2PzU7DMBCE70i8g7VIXFDrNKI/CnEqhIQo9EBJkRA3N16S&#10;qPE62E5b3p5FHOC4M6PZb/LlyXbigD60jhRMxgkIpMqZlmoFr9v70QJEiJqM7hyhgi8MsCzOz3Kd&#10;GXekFzyUsRZcQiHTCpoY+0zKUDVodRi7Hom9D+etjnz6Whqvj1xuO5kmyUxa3RJ/aHSPdw1W+3Kw&#10;CuyzvZXv64eh9JvHp7fP9Wqzv1opdXkxSW5ARDzFvzD84DM6FMy0cwOZIDoFo/Sat0Q2pnMQHFjM&#10;0imI3a8gi1z+X1B8A1BLAwQUAAAACACHTuJAbIuyevYBAADnAwAADgAAAGRycy9lMm9Eb2MueG1s&#10;rVPNbhMxEL4j8Q6W72Q3i1raVTY9NIQLgkjAA0xsb9aS/+Rxs8lL8AJI3ODEkTtv0/IYjHfTtJRL&#10;DuzBO/aMv5nvm/HsamcN26qI2ruGTyclZ8oJL7XbNPzTx+WLC84wgZNgvFMN3yvkV/Pnz2Z9qFXl&#10;O2+kioxAHNZ9aHiXUqiLAkWnLODEB+XI2fpoIdE2bgoZoSd0a4qqLM+L3kcZohcKkU4Xo5MfEOMp&#10;gL5ttVALL26scmlEjcpAIkrY6YB8PlTbtkqk922LKjHTcGKahpWSkL3OazGfQb2JEDotDiXAKSU8&#10;4WRBO0p6hFpAAnYT9T9QVovo0bdpIrwtRiKDIsRiWj7R5kMHQQ1cSGoMR9Hx/8GKd9tVZFo2vOLM&#10;gaWG3335efv52+9fX2m9+/GdVVmkPmBNsdduFQ87DKuYGe/aaPOfuLDdIOz+KKzaJSbo8Oy8uqxe&#10;nXEm7n3Fw8UQMb1R3rJsNNxolzlDDdu3mCgZhd6H5GPjWN/wlxfTknoogCawpc6TaQOxQLcZLqM3&#10;Wi61MfkKxs362kS2BZqC5bKkL3Mi4L/CcpYFYDfGDa5xPjoF8rWTLO0D6ePoWfBcg1WSM6PoFWWL&#10;AKFOoM0pkZTauHxBDTN6IJpFHmXN1trL/aB2kXfU/6Hiw6zmAXu8J/vx+5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VFO0/bAAAACQEAAA8AAAAAAAAAAQAgAAAAIgAAAGRycy9kb3ducmV2Lnht&#10;bFBLAQIUABQAAAAIAIdO4kBsi7J69gEAAOcDAAAOAAAAAAAAAAEAIAAAACo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关于开展2020年春季学期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在线教学优秀案例评选工作的通知</w:t>
      </w:r>
    </w:p>
    <w:bookmarkEnd w:id="0"/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各二级学院：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开展在线教学以来，广大师生积极响应、共克时艰，校院</w:t>
      </w:r>
      <w:r>
        <w:rPr>
          <w:rFonts w:ascii="仿宋" w:hAnsi="仿宋" w:eastAsia="仿宋" w:cs="仿宋"/>
          <w:sz w:val="32"/>
          <w:szCs w:val="32"/>
        </w:rPr>
        <w:t>两级</w:t>
      </w:r>
      <w:r>
        <w:rPr>
          <w:rFonts w:hint="eastAsia" w:ascii="仿宋" w:hAnsi="仿宋" w:eastAsia="仿宋" w:cs="仿宋"/>
          <w:sz w:val="32"/>
          <w:szCs w:val="32"/>
        </w:rPr>
        <w:t>高度重视、全力保障，线上教学工作平稳有序开展。为充分发挥在线教学优秀案例的引领带动作用，进一步提升在线教学质量。学校决定在全校范围内开展在线教学优秀案例评选工作，现将相关事项通知如下：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一、工作</w:t>
      </w:r>
      <w:r>
        <w:rPr>
          <w:rFonts w:ascii="仿宋" w:hAnsi="仿宋" w:eastAsia="仿宋" w:cs="仿宋"/>
          <w:b/>
          <w:bCs/>
          <w:sz w:val="32"/>
          <w:szCs w:val="32"/>
        </w:rPr>
        <w:t>宗旨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在线教学的全面实施为契机，深入贯彻“学生中心，产出导向，持续改进”教育理念，推动信息技术与教育教学改革的深度融合。树立质量意识，打造高效课堂，评选在线教学优秀案例，形成可复制、可推广的经验。同时做好推广、学习、借鉴，帮助教师进一步提高教学能力，帮助学院进一步提升管理能力，提升学校在线教学质量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二、评选范围及要求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（一）教师在线教学优秀案例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教师在线教学优秀案例要求选题要求有代表性及特色、教学目标明确、教学内容严谨科学、教学组织安排合理、教学成效突出、改革创新性强。</w:t>
      </w:r>
      <w:r>
        <w:rPr>
          <w:rFonts w:hint="eastAsia" w:ascii="Times New Roman" w:hAnsi="Times New Roman" w:eastAsia="仿宋"/>
          <w:sz w:val="32"/>
          <w:szCs w:val="32"/>
        </w:rPr>
        <w:t>具体评分标准参照附件1。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（二）二级学院在线教学运行分析月报告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二级学院在线教学运行分析月报告要求</w:t>
      </w:r>
      <w:r>
        <w:rPr>
          <w:rFonts w:ascii="仿宋" w:hAnsi="仿宋" w:eastAsia="仿宋" w:cs="仿宋"/>
          <w:sz w:val="32"/>
          <w:szCs w:val="32"/>
        </w:rPr>
        <w:t>包括</w:t>
      </w:r>
      <w:r>
        <w:rPr>
          <w:rFonts w:hint="eastAsia" w:ascii="仿宋_GB2312" w:eastAsia="仿宋_GB2312" w:cs="仿宋_GB2312"/>
          <w:color w:val="000000"/>
          <w:sz w:val="31"/>
          <w:szCs w:val="31"/>
          <w:shd w:val="clear" w:color="auto" w:fill="FFFFFF"/>
        </w:rPr>
        <w:t>汇总分析各专业、</w:t>
      </w:r>
      <w:r>
        <w:rPr>
          <w:rFonts w:ascii="仿宋_GB2312" w:eastAsia="仿宋_GB2312" w:cs="仿宋_GB2312"/>
          <w:color w:val="000000"/>
          <w:sz w:val="31"/>
          <w:szCs w:val="31"/>
          <w:shd w:val="clear" w:color="auto" w:fill="FFFFFF"/>
        </w:rPr>
        <w:t>各公共课程</w:t>
      </w:r>
      <w:r>
        <w:rPr>
          <w:rFonts w:hint="eastAsia" w:ascii="仿宋_GB2312" w:eastAsia="仿宋_GB2312" w:cs="仿宋_GB2312"/>
          <w:color w:val="000000"/>
          <w:sz w:val="31"/>
          <w:szCs w:val="31"/>
          <w:shd w:val="clear" w:color="auto" w:fill="FFFFFF"/>
        </w:rPr>
        <w:t>在线教学等基本状态，</w:t>
      </w:r>
      <w:r>
        <w:rPr>
          <w:rFonts w:hint="eastAsia" w:ascii="仿宋" w:hAnsi="仿宋" w:eastAsia="仿宋" w:cs="仿宋"/>
          <w:sz w:val="32"/>
          <w:szCs w:val="32"/>
        </w:rPr>
        <w:t>凝练</w:t>
      </w:r>
      <w:r>
        <w:rPr>
          <w:rFonts w:hint="eastAsia" w:ascii="仿宋" w:hAnsi="仿宋" w:eastAsia="仿宋" w:cs="仿宋"/>
          <w:kern w:val="2"/>
          <w:sz w:val="32"/>
          <w:szCs w:val="32"/>
        </w:rPr>
        <w:t>在线教学管理主要举措，</w:t>
      </w:r>
      <w:r>
        <w:rPr>
          <w:rFonts w:hint="eastAsia" w:ascii="仿宋" w:hAnsi="仿宋" w:eastAsia="仿宋" w:cs="仿宋"/>
          <w:sz w:val="32"/>
          <w:szCs w:val="32"/>
        </w:rPr>
        <w:t>梳理</w:t>
      </w:r>
      <w:r>
        <w:rPr>
          <w:rFonts w:hint="eastAsia" w:ascii="仿宋" w:hAnsi="仿宋" w:eastAsia="仿宋" w:cs="仿宋"/>
          <w:kern w:val="2"/>
          <w:sz w:val="32"/>
          <w:szCs w:val="32"/>
        </w:rPr>
        <w:t>下一步的工作设想</w:t>
      </w:r>
      <w:r>
        <w:rPr>
          <w:rFonts w:hint="eastAsia" w:ascii="仿宋" w:hAnsi="仿宋" w:eastAsia="仿宋" w:cs="仿宋"/>
          <w:sz w:val="32"/>
          <w:szCs w:val="32"/>
        </w:rPr>
        <w:t>等，</w:t>
      </w:r>
      <w:r>
        <w:rPr>
          <w:rFonts w:ascii="仿宋_GB2312" w:eastAsia="仿宋_GB2312" w:cs="仿宋_GB2312"/>
          <w:color w:val="000000"/>
          <w:sz w:val="31"/>
          <w:szCs w:val="31"/>
          <w:shd w:val="clear" w:color="auto" w:fill="FFFFFF"/>
        </w:rPr>
        <w:t>形成具有本院特色的</w:t>
      </w:r>
      <w:r>
        <w:rPr>
          <w:rFonts w:hint="eastAsia" w:ascii="仿宋" w:hAnsi="仿宋" w:eastAsia="仿宋" w:cs="仿宋"/>
          <w:sz w:val="32"/>
          <w:szCs w:val="32"/>
        </w:rPr>
        <w:t>《二级</w:t>
      </w:r>
      <w:r>
        <w:rPr>
          <w:rFonts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在线教学运行分析月报告》</w:t>
      </w:r>
      <w:r>
        <w:rPr>
          <w:rFonts w:ascii="仿宋_GB2312" w:eastAsia="仿宋_GB2312" w:cs="仿宋_GB2312"/>
          <w:color w:val="000000"/>
          <w:sz w:val="31"/>
          <w:szCs w:val="31"/>
          <w:shd w:val="clear" w:color="auto" w:fill="FFFFFF"/>
        </w:rPr>
        <w:t>。</w:t>
      </w:r>
      <w:r>
        <w:rPr>
          <w:rFonts w:hint="eastAsia" w:ascii="仿宋_GB2312" w:eastAsia="仿宋_GB2312" w:cs="仿宋_GB2312"/>
          <w:color w:val="000000"/>
          <w:sz w:val="31"/>
          <w:szCs w:val="31"/>
          <w:shd w:val="clear" w:color="auto" w:fill="FFFFFF"/>
        </w:rPr>
        <w:t>月报告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ascii="Times New Roman" w:hAnsi="Times New Roman" w:eastAsia="仿宋"/>
          <w:sz w:val="32"/>
          <w:szCs w:val="32"/>
        </w:rPr>
        <w:t>文字简洁，语言精炼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>
      <w:pPr>
        <w:widowControl/>
        <w:spacing w:line="560" w:lineRule="exact"/>
        <w:ind w:firstLine="645"/>
        <w:jc w:val="left"/>
        <w:rPr>
          <w:rFonts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</w:rPr>
        <w:t>三、评选程序  </w:t>
      </w: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>
      <w:pPr>
        <w:spacing w:line="560" w:lineRule="exact"/>
        <w:ind w:firstLine="643" w:firstLineChars="200"/>
        <w:jc w:val="left"/>
        <w:rPr>
          <w:rStyle w:val="9"/>
          <w:rFonts w:ascii="仿宋" w:hAnsi="仿宋" w:eastAsia="仿宋" w:cs="仿宋"/>
          <w:kern w:val="0"/>
          <w:sz w:val="32"/>
          <w:szCs w:val="32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</w:rPr>
        <w:t>（一）学院初评</w:t>
      </w:r>
    </w:p>
    <w:p>
      <w:pPr>
        <w:spacing w:line="560" w:lineRule="exact"/>
        <w:ind w:firstLine="6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</w:rPr>
        <w:t>各二级学院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可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通</w:t>
      </w:r>
      <w:r>
        <w:rPr>
          <w:rFonts w:hint="eastAsia" w:ascii="仿宋" w:hAnsi="仿宋" w:eastAsia="仿宋" w:cs="仿宋"/>
          <w:sz w:val="32"/>
          <w:szCs w:val="32"/>
        </w:rPr>
        <w:t>过组织教师观摩或者进行线上教学经验分享等形式，在已提交</w:t>
      </w:r>
      <w:r>
        <w:rPr>
          <w:rFonts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教师在线教学案例中遴选1个（承担全校性通识必修课的学院，可推荐公共课和专业课各1个）优秀</w:t>
      </w:r>
      <w:r>
        <w:rPr>
          <w:rFonts w:ascii="仿宋" w:hAnsi="仿宋" w:eastAsia="仿宋" w:cs="仿宋"/>
          <w:sz w:val="32"/>
          <w:szCs w:val="32"/>
        </w:rPr>
        <w:t>案例</w:t>
      </w:r>
      <w:r>
        <w:rPr>
          <w:rFonts w:hint="eastAsia" w:ascii="仿宋" w:hAnsi="仿宋" w:eastAsia="仿宋" w:cs="仿宋"/>
          <w:sz w:val="32"/>
          <w:szCs w:val="32"/>
        </w:rPr>
        <w:t>报送</w:t>
      </w:r>
      <w:r>
        <w:rPr>
          <w:rFonts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22" w:firstLineChars="200"/>
        <w:jc w:val="both"/>
        <w:rPr>
          <w:rStyle w:val="9"/>
          <w:rFonts w:ascii="仿宋_GB2312" w:hAnsi="仿宋_GB2312" w:eastAsia="仿宋_GB2312" w:cs="仿宋_GB2312"/>
          <w:sz w:val="31"/>
          <w:szCs w:val="31"/>
        </w:rPr>
      </w:pPr>
      <w:r>
        <w:rPr>
          <w:rStyle w:val="9"/>
          <w:rFonts w:hint="eastAsia" w:ascii="仿宋_GB2312" w:hAnsi="仿宋_GB2312" w:eastAsia="仿宋_GB2312" w:cs="仿宋_GB2312"/>
          <w:sz w:val="31"/>
          <w:szCs w:val="31"/>
        </w:rPr>
        <w:t>（二）</w:t>
      </w:r>
      <w:r>
        <w:rPr>
          <w:rStyle w:val="9"/>
          <w:rFonts w:ascii="仿宋_GB2312" w:hAnsi="仿宋_GB2312" w:eastAsia="仿宋_GB2312" w:cs="仿宋_GB2312"/>
          <w:sz w:val="31"/>
          <w:szCs w:val="31"/>
        </w:rPr>
        <w:t>学校</w:t>
      </w:r>
      <w:r>
        <w:rPr>
          <w:rStyle w:val="9"/>
          <w:rFonts w:hint="eastAsia" w:ascii="仿宋_GB2312" w:hAnsi="仿宋_GB2312" w:eastAsia="仿宋_GB2312" w:cs="仿宋_GB2312"/>
          <w:sz w:val="31"/>
          <w:szCs w:val="31"/>
        </w:rPr>
        <w:t>评选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仿宋" w:cs="微软雅黑"/>
          <w:color w:val="000000" w:themeColor="text1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学校适时成立评审专家组，严格遵守公平、公正、公开原则组织评选，</w:t>
      </w:r>
      <w:r>
        <w:rPr>
          <w:rFonts w:ascii="仿宋" w:hAnsi="仿宋" w:eastAsia="仿宋" w:cs="仿宋"/>
          <w:sz w:val="32"/>
          <w:szCs w:val="32"/>
        </w:rPr>
        <w:t>择优</w:t>
      </w:r>
      <w:r>
        <w:rPr>
          <w:rFonts w:hint="eastAsia" w:ascii="仿宋_GB2312" w:hAnsi="仿宋_GB2312" w:eastAsia="仿宋_GB2312" w:cs="仿宋_GB2312"/>
          <w:sz w:val="31"/>
          <w:szCs w:val="31"/>
        </w:rPr>
        <w:t>评选10个教师在线教学优秀</w:t>
      </w:r>
      <w:r>
        <w:rPr>
          <w:rFonts w:ascii="仿宋_GB2312" w:hAnsi="仿宋_GB2312" w:eastAsia="仿宋_GB2312" w:cs="仿宋_GB2312"/>
          <w:sz w:val="31"/>
          <w:szCs w:val="31"/>
        </w:rPr>
        <w:t>案例</w:t>
      </w:r>
      <w:r>
        <w:rPr>
          <w:rFonts w:hint="eastAsia" w:ascii="仿宋_GB2312" w:hAnsi="仿宋_GB2312" w:eastAsia="仿宋_GB2312" w:cs="仿宋_GB2312"/>
          <w:sz w:val="31"/>
          <w:szCs w:val="31"/>
        </w:rPr>
        <w:t>、5个优秀二级学院在线教学运行分析月报</w:t>
      </w:r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</w:rPr>
        <w:t>告（各</w:t>
      </w:r>
      <w:r>
        <w:rPr>
          <w:rFonts w:ascii="仿宋_GB2312" w:hAnsi="仿宋_GB2312" w:eastAsia="仿宋_GB2312" w:cs="仿宋_GB2312"/>
          <w:color w:val="000000" w:themeColor="text1"/>
          <w:sz w:val="31"/>
          <w:szCs w:val="31"/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</w:rPr>
        <w:t>5月</w:t>
      </w:r>
      <w:r>
        <w:rPr>
          <w:rFonts w:ascii="仿宋_GB2312" w:hAnsi="仿宋_GB2312" w:eastAsia="仿宋_GB2312" w:cs="仿宋_GB2312"/>
          <w:color w:val="000000" w:themeColor="text1"/>
          <w:sz w:val="31"/>
          <w:szCs w:val="31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</w:rPr>
        <w:t>6月的月报告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</w:rPr>
        <w:t>分值各占50%）。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（三）评选结果公示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left="70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评选结果在校园网公示5个工作日。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四、评选结果运用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（一）教师在线教学优秀案例予以奖励，并汇编成册推广。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（二）二级学院在线教学月报告评选</w:t>
      </w:r>
      <w:r>
        <w:rPr>
          <w:rFonts w:ascii="仿宋" w:hAnsi="仿宋" w:eastAsia="仿宋" w:cs="仿宋"/>
          <w:sz w:val="32"/>
          <w:szCs w:val="32"/>
        </w:rPr>
        <w:t>结果</w:t>
      </w:r>
      <w:r>
        <w:rPr>
          <w:rFonts w:hint="eastAsia" w:ascii="仿宋" w:hAnsi="仿宋" w:eastAsia="仿宋" w:cs="仿宋"/>
          <w:sz w:val="32"/>
          <w:szCs w:val="32"/>
        </w:rPr>
        <w:t>纳入年度目标绩效考核指标。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五、材料提交</w:t>
      </w:r>
    </w:p>
    <w:p>
      <w:pPr>
        <w:spacing w:line="560" w:lineRule="exact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（一）各学院于6月10日（周</w:t>
      </w:r>
      <w:r>
        <w:rPr>
          <w:rFonts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）之前</w:t>
      </w:r>
      <w:r>
        <w:rPr>
          <w:rFonts w:hint="eastAsia" w:ascii="仿宋" w:hAnsi="仿宋" w:eastAsia="仿宋" w:cs="仿宋"/>
          <w:kern w:val="0"/>
          <w:sz w:val="32"/>
          <w:szCs w:val="32"/>
        </w:rPr>
        <w:t>报送《</w:t>
      </w:r>
      <w:r>
        <w:rPr>
          <w:rFonts w:hint="eastAsia" w:ascii="仿宋" w:hAnsi="仿宋" w:eastAsia="仿宋" w:cs="仿宋"/>
          <w:sz w:val="32"/>
          <w:szCs w:val="32"/>
        </w:rPr>
        <w:t>三明学院在线教学优秀案例推荐表</w:t>
      </w:r>
      <w:r>
        <w:rPr>
          <w:rFonts w:hint="eastAsia" w:ascii="仿宋" w:hAnsi="仿宋" w:eastAsia="仿宋" w:cs="仿宋"/>
          <w:kern w:val="0"/>
          <w:sz w:val="32"/>
          <w:szCs w:val="32"/>
        </w:rPr>
        <w:t>》及5月份</w:t>
      </w:r>
      <w:r>
        <w:rPr>
          <w:rFonts w:hint="eastAsia" w:ascii="仿宋" w:hAnsi="仿宋" w:eastAsia="仿宋" w:cs="仿宋"/>
          <w:sz w:val="32"/>
          <w:szCs w:val="32"/>
        </w:rPr>
        <w:t>（数据</w:t>
      </w:r>
      <w:r>
        <w:rPr>
          <w:rFonts w:ascii="仿宋" w:hAnsi="仿宋" w:eastAsia="仿宋" w:cs="仿宋"/>
          <w:sz w:val="32"/>
          <w:szCs w:val="32"/>
        </w:rPr>
        <w:t>统计时间</w:t>
      </w:r>
      <w:r>
        <w:rPr>
          <w:rFonts w:hint="eastAsia" w:ascii="仿宋" w:hAnsi="仿宋" w:eastAsia="仿宋" w:cs="仿宋"/>
          <w:sz w:val="32"/>
          <w:szCs w:val="32"/>
        </w:rPr>
        <w:t>5月6日</w:t>
      </w:r>
      <w:r>
        <w:rPr>
          <w:rFonts w:ascii="仿宋" w:hAnsi="仿宋" w:eastAsia="仿宋" w:cs="仿宋"/>
          <w:sz w:val="32"/>
          <w:szCs w:val="32"/>
        </w:rPr>
        <w:t>-6</w:t>
      </w:r>
      <w:r>
        <w:rPr>
          <w:rFonts w:hint="eastAsia" w:ascii="仿宋" w:hAnsi="仿宋" w:eastAsia="仿宋" w:cs="仿宋"/>
          <w:sz w:val="32"/>
          <w:szCs w:val="32"/>
        </w:rPr>
        <w:t>月6日）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二级学院在线教学运行分析月报告》</w:t>
      </w:r>
      <w:r>
        <w:rPr>
          <w:rFonts w:hint="eastAsia" w:ascii="仿宋" w:hAnsi="仿宋" w:eastAsia="仿宋" w:cs="仿宋"/>
          <w:kern w:val="0"/>
          <w:sz w:val="32"/>
          <w:szCs w:val="32"/>
        </w:rPr>
        <w:t>至教务处（</w:t>
      </w:r>
      <w:r>
        <w:rPr>
          <w:rFonts w:hint="eastAsia" w:ascii="仿宋" w:hAnsi="仿宋" w:eastAsia="仿宋" w:cs="仿宋"/>
          <w:sz w:val="32"/>
          <w:szCs w:val="32"/>
        </w:rPr>
        <w:t>教师教学发展中心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李霞老师处。</w:t>
      </w:r>
    </w:p>
    <w:p>
      <w:pPr>
        <w:spacing w:line="560" w:lineRule="exact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（二）各学院6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月份</w:t>
      </w:r>
      <w:r>
        <w:rPr>
          <w:rFonts w:hint="eastAsia" w:ascii="仿宋" w:hAnsi="仿宋" w:eastAsia="仿宋" w:cs="仿宋"/>
          <w:sz w:val="32"/>
          <w:szCs w:val="32"/>
        </w:rPr>
        <w:t>（数据</w:t>
      </w:r>
      <w:r>
        <w:rPr>
          <w:rFonts w:ascii="仿宋" w:hAnsi="仿宋" w:eastAsia="仿宋" w:cs="仿宋"/>
          <w:sz w:val="32"/>
          <w:szCs w:val="32"/>
        </w:rPr>
        <w:t>统计时间</w:t>
      </w:r>
      <w:r>
        <w:rPr>
          <w:rFonts w:hint="eastAsia" w:ascii="仿宋" w:hAnsi="仿宋" w:eastAsia="仿宋" w:cs="仿宋"/>
          <w:sz w:val="32"/>
          <w:szCs w:val="32"/>
        </w:rPr>
        <w:t>6月7日</w:t>
      </w:r>
      <w:r>
        <w:rPr>
          <w:rFonts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学期结束）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二级学院在线教学运行分析月报告》提交</w:t>
      </w:r>
      <w:r>
        <w:rPr>
          <w:rFonts w:ascii="仿宋" w:hAnsi="仿宋" w:eastAsia="仿宋" w:cs="仿宋"/>
          <w:sz w:val="32"/>
          <w:szCs w:val="32"/>
        </w:rPr>
        <w:t>时间另行通知。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附件1：教师</w:t>
      </w:r>
      <w:r>
        <w:rPr>
          <w:rFonts w:hint="eastAsia" w:ascii="仿宋" w:hAnsi="仿宋" w:eastAsia="仿宋" w:cs="仿宋"/>
          <w:kern w:val="0"/>
          <w:sz w:val="32"/>
          <w:szCs w:val="32"/>
        </w:rPr>
        <w:t>在线教学优秀案例评分参考标准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附件2：</w:t>
      </w:r>
      <w:r>
        <w:rPr>
          <w:rFonts w:hint="eastAsia" w:ascii="仿宋" w:hAnsi="仿宋" w:eastAsia="仿宋" w:cs="仿宋"/>
          <w:sz w:val="32"/>
          <w:szCs w:val="32"/>
        </w:rPr>
        <w:t>三明学院在线教学优秀案例推荐表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三明学院教务处（教师教学发展中心）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right="840" w:rightChars="400" w:firstLine="640" w:firstLineChars="200"/>
        <w:jc w:val="right"/>
        <w:rPr>
          <w:rFonts w:ascii="黑体" w:hAnsi="黑体" w:eastAsia="黑体"/>
        </w:rPr>
      </w:pPr>
      <w:r>
        <w:rPr>
          <w:rFonts w:hint="eastAsia" w:ascii="仿宋" w:hAnsi="仿宋" w:eastAsia="仿宋" w:cs="仿宋"/>
          <w:sz w:val="32"/>
          <w:szCs w:val="32"/>
        </w:rPr>
        <w:t>2020年5月8日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napToGrid w:val="0"/>
              <w:spacing w:line="520" w:lineRule="exact"/>
              <w:ind w:firstLine="320" w:firstLineChars="100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 xml:space="preserve">三明学院教务处                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2020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年5月8日印发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spacing w:line="44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 教师在线教学优秀案例评分参考标准</w:t>
      </w:r>
    </w:p>
    <w:tbl>
      <w:tblPr>
        <w:tblStyle w:val="7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7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指标项</w:t>
            </w:r>
          </w:p>
        </w:tc>
        <w:tc>
          <w:tcPr>
            <w:tcW w:w="74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案例选题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（20分）</w:t>
            </w:r>
          </w:p>
        </w:tc>
        <w:tc>
          <w:tcPr>
            <w:tcW w:w="748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1.案例能充分展示学校在疫情防控期间积极开展教学工作，全力保证网络教学质量的良好精神风貌；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2.案例能展示教师结合疫情深入推进课程思政工作、将宣传疫情防控知识与讲授教学知识密切结合以及通过线上课程、网络直播、平台互动等多种形式生动有效地开展教学活动的良好教学氛围；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3.案例选题具一定的代表性和特色，能够有效解决教与学过程中的重点、难点、疑点问题。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教学内容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（20分）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1.具有明确的教学目标，教学内容科学严谨，能围绕某个知识点、教学环节等有效开展教学；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2.教学内容无科学性、思想性方面的错误；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3.能较好反映或联系学科发展新思想、新概念、新成果，服务于课程目标和毕业要求。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教学组织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1.教学过程安排合理，能体现在线课程特点，线上资源应用得当，方法运用灵活，启发性强，能有效启发学生思维、调动学习积极性。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在线教学的教学互动安排合理，学生参与度高，教学时间安排合理，课堂应变能力强。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3.随堂测验、课后作业设计与教学内容紧密联系、结构合理，教学互动与多媒体资源相配合，实时解答学生提问。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线上教学过程的重点突出，条理清楚，内容承前启后，循序渐进，能体现线上教学的互动性。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教学成效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748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1.教师教学理念先进、风格突出、感染力强、教学效果好。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学生积极参与、教学互动性强、学生能够较好地完成学习目标。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改革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创新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48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1.能够根据线上课程的教学特点，从教学理念、教学方法、教学过程三方面着手，保证在线学习与线下课堂教学质量实质等效。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能够以信息技术与教育教学深度整合进行教与学的改革创新，推动学习方式变革，关注学习成效。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能够在课程思政教学改革方面做好教学设计。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ind w:right="840" w:rightChars="40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"/>
          <w:sz w:val="28"/>
          <w:szCs w:val="28"/>
        </w:rPr>
      </w:pPr>
    </w:p>
    <w:p>
      <w:pPr>
        <w:spacing w:line="560" w:lineRule="exact"/>
        <w:jc w:val="left"/>
        <w:rPr>
          <w:rFonts w:ascii="方正黑体_GBK" w:hAnsi="宋体" w:eastAsia="方正黑体_GBK" w:cs="Times New Roman"/>
          <w:sz w:val="32"/>
          <w:szCs w:val="32"/>
        </w:rPr>
      </w:pPr>
      <w:r>
        <w:rPr>
          <w:rFonts w:hint="eastAsia" w:ascii="Times New Roman" w:hAnsi="Times New Roman" w:eastAsia="仿宋"/>
          <w:sz w:val="28"/>
          <w:szCs w:val="28"/>
        </w:rPr>
        <w:t>附件2</w:t>
      </w:r>
      <w:r>
        <w:rPr>
          <w:rFonts w:hint="eastAsia" w:ascii="方正黑体_GBK" w:hAnsi="宋体" w:eastAsia="方正黑体_GBK"/>
          <w:sz w:val="32"/>
          <w:szCs w:val="32"/>
        </w:rPr>
        <w:t xml:space="preserve">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方正黑体_GBK" w:hAnsi="宋体" w:eastAsia="方正黑体_GBK" w:cs="Times New Roman"/>
          <w:sz w:val="32"/>
          <w:szCs w:val="32"/>
        </w:rPr>
        <w:t xml:space="preserve">      </w:t>
      </w:r>
    </w:p>
    <w:p>
      <w:pPr>
        <w:spacing w:line="44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三明学院在线教学优秀案例推荐表</w:t>
      </w:r>
    </w:p>
    <w:tbl>
      <w:tblPr>
        <w:tblStyle w:val="6"/>
        <w:tblpPr w:leftFromText="180" w:rightFromText="180" w:vertAnchor="text" w:horzAnchor="page" w:tblpX="1815" w:tblpY="27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679"/>
        <w:gridCol w:w="1700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课程名称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任课教师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推荐学院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授课对象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具体案例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（可另附，注意文字简洁，语言精炼，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形成可复制、可推广的案例，3000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~5000字，可辅以命名清晰的相关图片和文字说明等）</w:t>
            </w:r>
          </w:p>
        </w:tc>
      </w:tr>
    </w:tbl>
    <w:p>
      <w:pPr>
        <w:spacing w:line="440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</w:p>
    <w:p>
      <w:pPr>
        <w:widowControl/>
        <w:shd w:val="clear" w:color="auto" w:fill="FFFFFF"/>
        <w:spacing w:line="360" w:lineRule="exact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333333"/>
          <w:kern w:val="0"/>
          <w:sz w:val="24"/>
          <w:szCs w:val="24"/>
        </w:rPr>
        <w:t>备注</w:t>
      </w:r>
      <w:r>
        <w:rPr>
          <w:rFonts w:ascii="Times New Roman" w:hAnsi="Times New Roman" w:eastAsia="仿宋_GB2312" w:cs="宋体"/>
          <w:color w:val="333333"/>
          <w:kern w:val="0"/>
          <w:sz w:val="24"/>
          <w:szCs w:val="24"/>
        </w:rPr>
        <w:t>：</w:t>
      </w:r>
      <w:r>
        <w:rPr>
          <w:rFonts w:hint="eastAsia" w:ascii="Times New Roman" w:hAnsi="Times New Roman" w:eastAsia="仿宋_GB2312" w:cs="宋体"/>
          <w:color w:val="333333"/>
          <w:kern w:val="0"/>
          <w:sz w:val="24"/>
          <w:szCs w:val="24"/>
        </w:rPr>
        <w:t>案例建议</w:t>
      </w:r>
      <w:r>
        <w:rPr>
          <w:rFonts w:ascii="Times New Roman" w:hAnsi="Times New Roman" w:eastAsia="仿宋_GB2312" w:cs="宋体"/>
          <w:color w:val="333333"/>
          <w:kern w:val="0"/>
          <w:sz w:val="24"/>
          <w:szCs w:val="24"/>
        </w:rPr>
        <w:t>包含</w:t>
      </w:r>
      <w:r>
        <w:rPr>
          <w:rFonts w:hint="eastAsia" w:ascii="Times New Roman" w:hAnsi="Times New Roman" w:eastAsia="仿宋_GB2312" w:cs="宋体"/>
          <w:color w:val="333333"/>
          <w:kern w:val="0"/>
          <w:sz w:val="24"/>
          <w:szCs w:val="24"/>
        </w:rPr>
        <w:t>在线教学设计（教学</w:t>
      </w:r>
      <w:r>
        <w:rPr>
          <w:rFonts w:ascii="Times New Roman" w:hAnsi="Times New Roman" w:eastAsia="仿宋_GB2312" w:cs="宋体"/>
          <w:color w:val="333333"/>
          <w:kern w:val="0"/>
          <w:sz w:val="24"/>
          <w:szCs w:val="24"/>
        </w:rPr>
        <w:t>设计理念</w:t>
      </w:r>
      <w:r>
        <w:rPr>
          <w:rFonts w:hint="eastAsia" w:ascii="Times New Roman" w:hAnsi="Times New Roman" w:eastAsia="仿宋_GB2312" w:cs="宋体"/>
          <w:color w:val="333333"/>
          <w:kern w:val="0"/>
          <w:sz w:val="24"/>
          <w:szCs w:val="24"/>
        </w:rPr>
        <w:t>、教学</w:t>
      </w:r>
      <w:r>
        <w:rPr>
          <w:rFonts w:ascii="Times New Roman" w:hAnsi="Times New Roman" w:eastAsia="仿宋_GB2312" w:cs="宋体"/>
          <w:color w:val="333333"/>
          <w:kern w:val="0"/>
          <w:sz w:val="24"/>
          <w:szCs w:val="24"/>
        </w:rPr>
        <w:t>目标及</w:t>
      </w:r>
      <w:r>
        <w:rPr>
          <w:rFonts w:hint="eastAsia" w:ascii="Times New Roman" w:hAnsi="Times New Roman" w:eastAsia="仿宋_GB2312" w:cs="宋体"/>
          <w:color w:val="333333"/>
          <w:kern w:val="0"/>
          <w:sz w:val="24"/>
          <w:szCs w:val="24"/>
        </w:rPr>
        <w:t>课前、课中、课后的具体做法）、在线教学实施（如何创设学习情境、开展教学</w:t>
      </w:r>
      <w:r>
        <w:rPr>
          <w:rFonts w:ascii="Times New Roman" w:hAnsi="Times New Roman" w:eastAsia="仿宋_GB2312" w:cs="宋体"/>
          <w:color w:val="333333"/>
          <w:kern w:val="0"/>
          <w:sz w:val="24"/>
          <w:szCs w:val="24"/>
        </w:rPr>
        <w:t>活动</w:t>
      </w:r>
      <w:r>
        <w:rPr>
          <w:rFonts w:hint="eastAsia" w:ascii="Times New Roman" w:hAnsi="Times New Roman" w:eastAsia="仿宋_GB2312" w:cs="宋体"/>
          <w:color w:val="333333"/>
          <w:kern w:val="0"/>
          <w:sz w:val="24"/>
          <w:szCs w:val="24"/>
        </w:rPr>
        <w:t>、实施</w:t>
      </w:r>
      <w:r>
        <w:rPr>
          <w:rFonts w:ascii="Times New Roman" w:hAnsi="Times New Roman" w:eastAsia="仿宋_GB2312" w:cs="宋体"/>
          <w:color w:val="333333"/>
          <w:kern w:val="0"/>
          <w:sz w:val="24"/>
          <w:szCs w:val="24"/>
        </w:rPr>
        <w:t>学习评价</w:t>
      </w:r>
      <w:r>
        <w:rPr>
          <w:rFonts w:hint="eastAsia" w:ascii="Times New Roman" w:hAnsi="Times New Roman" w:eastAsia="仿宋_GB2312" w:cs="宋体"/>
          <w:color w:val="333333"/>
          <w:kern w:val="0"/>
          <w:sz w:val="24"/>
          <w:szCs w:val="24"/>
        </w:rPr>
        <w:t>、维持</w:t>
      </w:r>
      <w:r>
        <w:rPr>
          <w:rFonts w:ascii="Times New Roman" w:hAnsi="Times New Roman" w:eastAsia="仿宋_GB2312" w:cs="宋体"/>
          <w:color w:val="333333"/>
          <w:kern w:val="0"/>
          <w:sz w:val="24"/>
          <w:szCs w:val="24"/>
        </w:rPr>
        <w:t>学生学习兴趣等</w:t>
      </w:r>
      <w:r>
        <w:rPr>
          <w:rFonts w:hint="eastAsia" w:ascii="Times New Roman" w:hAnsi="Times New Roman" w:eastAsia="仿宋_GB2312" w:cs="宋体"/>
          <w:color w:val="333333"/>
          <w:kern w:val="0"/>
          <w:sz w:val="24"/>
          <w:szCs w:val="24"/>
        </w:rPr>
        <w:t>的具体做法及亮点）、在线教学成效与反响、在线教学反思与总结、教师教学场景照片，典型师生交流场景截图，反映教学成效的数据截图等。</w:t>
      </w:r>
    </w:p>
    <w:sectPr>
      <w:footerReference r:id="rId3" w:type="default"/>
      <w:pgSz w:w="11906" w:h="16838"/>
      <w:pgMar w:top="1440" w:right="1800" w:bottom="144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601485859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01485859"/>
                    </w:sdtPr>
                    <w:sdtEndPr>
                      <w:rPr>
                        <w:rFonts w:ascii="Times New Roman" w:hAnsi="Times New Roman" w:cs="Times New Roman"/>
                        <w:sz w:val="24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lang w:val="zh-CN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jA1YjViMWE1YWZmMGFjZWFhOTNlYzdkYzg2YWMifQ=="/>
  </w:docVars>
  <w:rsids>
    <w:rsidRoot w:val="00C918EA"/>
    <w:rsid w:val="0002410D"/>
    <w:rsid w:val="000477CE"/>
    <w:rsid w:val="00067908"/>
    <w:rsid w:val="00087823"/>
    <w:rsid w:val="000B1AE7"/>
    <w:rsid w:val="000B4EF7"/>
    <w:rsid w:val="000B6173"/>
    <w:rsid w:val="000D2268"/>
    <w:rsid w:val="000F5C8A"/>
    <w:rsid w:val="00105EBF"/>
    <w:rsid w:val="00105F83"/>
    <w:rsid w:val="001239FB"/>
    <w:rsid w:val="001243A2"/>
    <w:rsid w:val="00136EBD"/>
    <w:rsid w:val="001447A8"/>
    <w:rsid w:val="00150748"/>
    <w:rsid w:val="00151008"/>
    <w:rsid w:val="001621D1"/>
    <w:rsid w:val="0016474B"/>
    <w:rsid w:val="00172B7D"/>
    <w:rsid w:val="00172ED3"/>
    <w:rsid w:val="001973A9"/>
    <w:rsid w:val="001B0357"/>
    <w:rsid w:val="001C6E86"/>
    <w:rsid w:val="001D00F5"/>
    <w:rsid w:val="001E115B"/>
    <w:rsid w:val="001E2F3C"/>
    <w:rsid w:val="001F0F92"/>
    <w:rsid w:val="001F233E"/>
    <w:rsid w:val="001F280D"/>
    <w:rsid w:val="001F30CC"/>
    <w:rsid w:val="002212F5"/>
    <w:rsid w:val="0022486F"/>
    <w:rsid w:val="00240113"/>
    <w:rsid w:val="00251CBA"/>
    <w:rsid w:val="00271460"/>
    <w:rsid w:val="00271A53"/>
    <w:rsid w:val="002740C7"/>
    <w:rsid w:val="002805F4"/>
    <w:rsid w:val="00286B0D"/>
    <w:rsid w:val="002C2B86"/>
    <w:rsid w:val="002D2BD0"/>
    <w:rsid w:val="002D7177"/>
    <w:rsid w:val="002F0C3E"/>
    <w:rsid w:val="00301C86"/>
    <w:rsid w:val="00312963"/>
    <w:rsid w:val="00323F29"/>
    <w:rsid w:val="003306B5"/>
    <w:rsid w:val="00331E53"/>
    <w:rsid w:val="003323A7"/>
    <w:rsid w:val="00332947"/>
    <w:rsid w:val="00382429"/>
    <w:rsid w:val="00386327"/>
    <w:rsid w:val="003D47CF"/>
    <w:rsid w:val="003E51FC"/>
    <w:rsid w:val="003F0CEE"/>
    <w:rsid w:val="004051FF"/>
    <w:rsid w:val="00415ED4"/>
    <w:rsid w:val="00424C83"/>
    <w:rsid w:val="0043483B"/>
    <w:rsid w:val="00457412"/>
    <w:rsid w:val="00463AD8"/>
    <w:rsid w:val="00471D60"/>
    <w:rsid w:val="004812AD"/>
    <w:rsid w:val="004817CF"/>
    <w:rsid w:val="00484E88"/>
    <w:rsid w:val="004921CA"/>
    <w:rsid w:val="004A2435"/>
    <w:rsid w:val="004A7704"/>
    <w:rsid w:val="004B17F3"/>
    <w:rsid w:val="004B7673"/>
    <w:rsid w:val="004E247D"/>
    <w:rsid w:val="004E4D81"/>
    <w:rsid w:val="004E5EBB"/>
    <w:rsid w:val="004F03E9"/>
    <w:rsid w:val="005140B5"/>
    <w:rsid w:val="00515ED8"/>
    <w:rsid w:val="00523897"/>
    <w:rsid w:val="00532B4B"/>
    <w:rsid w:val="00544B98"/>
    <w:rsid w:val="00552B9B"/>
    <w:rsid w:val="00580791"/>
    <w:rsid w:val="00590BB3"/>
    <w:rsid w:val="00596B23"/>
    <w:rsid w:val="005D2E4C"/>
    <w:rsid w:val="005E19CD"/>
    <w:rsid w:val="00604114"/>
    <w:rsid w:val="006064A0"/>
    <w:rsid w:val="00623E66"/>
    <w:rsid w:val="00625880"/>
    <w:rsid w:val="0064324A"/>
    <w:rsid w:val="0066507A"/>
    <w:rsid w:val="0066685A"/>
    <w:rsid w:val="00667A1A"/>
    <w:rsid w:val="00683776"/>
    <w:rsid w:val="006A445B"/>
    <w:rsid w:val="006E1866"/>
    <w:rsid w:val="006F3C98"/>
    <w:rsid w:val="00720FB4"/>
    <w:rsid w:val="007241AE"/>
    <w:rsid w:val="00725842"/>
    <w:rsid w:val="0072727C"/>
    <w:rsid w:val="00731A74"/>
    <w:rsid w:val="00733005"/>
    <w:rsid w:val="00746FA6"/>
    <w:rsid w:val="00756B06"/>
    <w:rsid w:val="007631A4"/>
    <w:rsid w:val="0077628C"/>
    <w:rsid w:val="007C21BC"/>
    <w:rsid w:val="007F4FAE"/>
    <w:rsid w:val="007F62EE"/>
    <w:rsid w:val="00823CDB"/>
    <w:rsid w:val="008245BA"/>
    <w:rsid w:val="008275F0"/>
    <w:rsid w:val="00844AFC"/>
    <w:rsid w:val="00847770"/>
    <w:rsid w:val="00856C66"/>
    <w:rsid w:val="00867EEF"/>
    <w:rsid w:val="008706AF"/>
    <w:rsid w:val="00874432"/>
    <w:rsid w:val="0088375D"/>
    <w:rsid w:val="008908AB"/>
    <w:rsid w:val="00890991"/>
    <w:rsid w:val="00893BCE"/>
    <w:rsid w:val="008F282F"/>
    <w:rsid w:val="008F3512"/>
    <w:rsid w:val="008F59EA"/>
    <w:rsid w:val="00901A27"/>
    <w:rsid w:val="00910E7A"/>
    <w:rsid w:val="009126FF"/>
    <w:rsid w:val="009636D6"/>
    <w:rsid w:val="009A4E08"/>
    <w:rsid w:val="00A14A29"/>
    <w:rsid w:val="00A14A4A"/>
    <w:rsid w:val="00A208EB"/>
    <w:rsid w:val="00A24B92"/>
    <w:rsid w:val="00A25F7A"/>
    <w:rsid w:val="00A300EE"/>
    <w:rsid w:val="00A322F6"/>
    <w:rsid w:val="00A32CD4"/>
    <w:rsid w:val="00A67911"/>
    <w:rsid w:val="00AA5605"/>
    <w:rsid w:val="00AB078B"/>
    <w:rsid w:val="00AD4024"/>
    <w:rsid w:val="00B503A3"/>
    <w:rsid w:val="00B60522"/>
    <w:rsid w:val="00B7454F"/>
    <w:rsid w:val="00B75FF6"/>
    <w:rsid w:val="00BA7A98"/>
    <w:rsid w:val="00BB0F0A"/>
    <w:rsid w:val="00BB76C8"/>
    <w:rsid w:val="00BD0A5E"/>
    <w:rsid w:val="00C00A39"/>
    <w:rsid w:val="00C06AE7"/>
    <w:rsid w:val="00C1798D"/>
    <w:rsid w:val="00C23ED8"/>
    <w:rsid w:val="00C62443"/>
    <w:rsid w:val="00C6620C"/>
    <w:rsid w:val="00C918EA"/>
    <w:rsid w:val="00CC27F8"/>
    <w:rsid w:val="00D02650"/>
    <w:rsid w:val="00D21E92"/>
    <w:rsid w:val="00D40059"/>
    <w:rsid w:val="00D41EA1"/>
    <w:rsid w:val="00D437D7"/>
    <w:rsid w:val="00D43C44"/>
    <w:rsid w:val="00D51D51"/>
    <w:rsid w:val="00D8339D"/>
    <w:rsid w:val="00DA4D5E"/>
    <w:rsid w:val="00DC2673"/>
    <w:rsid w:val="00DC5036"/>
    <w:rsid w:val="00DC6276"/>
    <w:rsid w:val="00DE0E13"/>
    <w:rsid w:val="00E0321A"/>
    <w:rsid w:val="00E25BDE"/>
    <w:rsid w:val="00E35B8F"/>
    <w:rsid w:val="00E41BBE"/>
    <w:rsid w:val="00E43082"/>
    <w:rsid w:val="00E45227"/>
    <w:rsid w:val="00E46BC9"/>
    <w:rsid w:val="00E700E5"/>
    <w:rsid w:val="00E94E56"/>
    <w:rsid w:val="00EA21F5"/>
    <w:rsid w:val="00EB43CE"/>
    <w:rsid w:val="00EC543C"/>
    <w:rsid w:val="00EC7A23"/>
    <w:rsid w:val="00EE459E"/>
    <w:rsid w:val="00F01001"/>
    <w:rsid w:val="00F02215"/>
    <w:rsid w:val="00F03ADC"/>
    <w:rsid w:val="00F10C6F"/>
    <w:rsid w:val="00F35745"/>
    <w:rsid w:val="00F3668C"/>
    <w:rsid w:val="00F53AD5"/>
    <w:rsid w:val="00F600F9"/>
    <w:rsid w:val="00F60EF6"/>
    <w:rsid w:val="00F72C21"/>
    <w:rsid w:val="00F8189E"/>
    <w:rsid w:val="00F9646D"/>
    <w:rsid w:val="00FC37D0"/>
    <w:rsid w:val="00FC4431"/>
    <w:rsid w:val="00FC4CB3"/>
    <w:rsid w:val="00FC7BF4"/>
    <w:rsid w:val="00FD5815"/>
    <w:rsid w:val="00FE6BE1"/>
    <w:rsid w:val="05C44680"/>
    <w:rsid w:val="08F72857"/>
    <w:rsid w:val="09F04EFA"/>
    <w:rsid w:val="0A5E5013"/>
    <w:rsid w:val="0A680724"/>
    <w:rsid w:val="0DC00256"/>
    <w:rsid w:val="101C6AEE"/>
    <w:rsid w:val="112F2D81"/>
    <w:rsid w:val="185B0C5B"/>
    <w:rsid w:val="1E6E299E"/>
    <w:rsid w:val="2187389F"/>
    <w:rsid w:val="25CF2B52"/>
    <w:rsid w:val="2A137914"/>
    <w:rsid w:val="2BCC0DAA"/>
    <w:rsid w:val="2DC551B4"/>
    <w:rsid w:val="2E384A31"/>
    <w:rsid w:val="35267890"/>
    <w:rsid w:val="3AA84905"/>
    <w:rsid w:val="3B3B6C16"/>
    <w:rsid w:val="3CE809D8"/>
    <w:rsid w:val="3CFB0FA3"/>
    <w:rsid w:val="42B45CCF"/>
    <w:rsid w:val="42D62D42"/>
    <w:rsid w:val="435E6122"/>
    <w:rsid w:val="4A1E20A6"/>
    <w:rsid w:val="4ACF4C7E"/>
    <w:rsid w:val="4C2B019F"/>
    <w:rsid w:val="53AC7ADA"/>
    <w:rsid w:val="59C63511"/>
    <w:rsid w:val="6BE20BFC"/>
    <w:rsid w:val="6D917AA7"/>
    <w:rsid w:val="772D64AF"/>
    <w:rsid w:val="77445AD1"/>
    <w:rsid w:val="791140E0"/>
    <w:rsid w:val="79664192"/>
    <w:rsid w:val="7B8F6408"/>
    <w:rsid w:val="7D9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CE9CBD-4B75-402A-93A9-D0208F4063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326</Words>
  <Characters>1864</Characters>
  <Lines>15</Lines>
  <Paragraphs>4</Paragraphs>
  <TotalTime>4</TotalTime>
  <ScaleCrop>false</ScaleCrop>
  <LinksUpToDate>false</LinksUpToDate>
  <CharactersWithSpaces>2186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2020-05-08T08:54:00Z</dcterms:created>
  <dc:creator>rongfang fu</dc:creator>
  <cp:lastModifiedBy>lklk</cp:lastModifiedBy>
  <cp:lastPrinted>2020-05-08T03:49:00Z</cp:lastPrinted>
  <dcterms:modified xsi:type="dcterms:W3CDTF">2023-10-10T03:39:04Z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F5A14A4D7C9745ABAE6D84662DF60362_13</vt:lpwstr>
  </property>
</Properties>
</file>